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0"/>
        <w:jc w:val="center"/>
      </w:pPr>
      <w:r>
        <w:rPr>
          <w:rFonts w:ascii="Arial" w:cs="Arial" w:eastAsia="Arial" w:hAnsi="Arial"/>
          <w:b/>
          <w:bCs/>
          <w:color w:val="1E3D2F"/>
          <w:sz w:val="52"/>
          <w:szCs w:val="52"/>
        </w:rPr>
        <w:t xml:space="preserve">Dopple Community Gifting (DCG)</w:t>
      </w:r>
    </w:p>
    <w:p>
      <w:pPr>
        <w:spacing w:after="40" w:before="0"/>
        <w:jc w:val="center"/>
      </w:pPr>
      <w:r>
        <w:rPr>
          <w:rFonts w:ascii="Arial" w:cs="Arial" w:eastAsia="Arial" w:hAnsi="Arial"/>
          <w:color w:val="666666"/>
          <w:sz w:val="28"/>
          <w:szCs w:val="28"/>
        </w:rPr>
        <w:t xml:space="preserve">Donor Portal Product Specification</w:t>
      </w:r>
    </w:p>
    <w:p>
      <w:pPr>
        <w:spacing w:after="40" w:before="0"/>
        <w:jc w:val="center"/>
      </w:pPr>
      <w:r>
        <w:rPr>
          <w:rFonts w:ascii="Arial" w:cs="Arial" w:eastAsia="Arial" w:hAnsi="Arial"/>
          <w:color w:val="5CAF70"/>
          <w:sz w:val="24"/>
          <w:szCs w:val="24"/>
        </w:rPr>
        <w:t xml:space="preserve">dopplecharities.org</w:t>
      </w:r>
    </w:p>
    <w:p>
      <w:pPr>
        <w:spacing w:after="240" w:before="0"/>
        <w:jc w:val="center"/>
      </w:pPr>
      <w:r>
        <w:rPr>
          <w:rFonts w:ascii="Arial" w:cs="Arial" w:eastAsia="Arial" w:hAnsi="Arial"/>
          <w:color w:val="999999"/>
          <w:sz w:val="20"/>
          <w:szCs w:val="20"/>
        </w:rPr>
        <w:t xml:space="preserve">Version 1.2  |  June 2026  |  Author: Lisa Marino</w:t>
      </w:r>
    </w:p>
    <w:p>
      <w:pPr>
        <w:pBdr>
          <w:bottom w:val="single" w:color="CCCCCC" w:sz="4" w:space="1"/>
        </w:pBdr>
        <w:spacing w:after="160" w:before="160"/>
      </w:pPr>
    </w:p>
    <w:p>
      <w:pPr>
        <w:pStyle w:val="Heading1"/>
        <w:spacing w:after="120" w:before="360"/>
      </w:pPr>
      <w:r>
        <w:rPr>
          <w:rFonts w:ascii="Arial" w:cs="Arial" w:eastAsia="Arial" w:hAnsi="Arial"/>
          <w:b/>
          <w:bCs/>
          <w:color w:val="1E3D2F"/>
          <w:sz w:val="36"/>
          <w:szCs w:val="36"/>
        </w:rPr>
        <w:t xml:space="preserve">1. Overview</w:t>
      </w:r>
    </w:p>
    <w:p>
      <w:pPr>
        <w:spacing w:after="80" w:before="80"/>
      </w:pPr>
      <w:r>
        <w:rPr>
          <w:rFonts w:ascii="Arial" w:cs="Arial" w:eastAsia="Arial" w:hAnsi="Arial"/>
          <w:sz w:val="22"/>
          <w:szCs w:val="22"/>
        </w:rPr>
        <w:t xml:space="preserve">Dopple Community Gifting (DCG) is the 501(c)(3) funding arm of the Dopple ecosystem. It operates at dopplecharities.org and serves as one of the core capital sources that powers matching dollars for families on the Dopple platform.</w:t>
      </w:r>
    </w:p>
    <w:p>
      <w:pPr>
        <w:spacing w:after="80" w:before="80"/>
      </w:pPr>
      <w:r>
        <w:rPr>
          <w:rFonts w:ascii="Arial" w:cs="Arial" w:eastAsia="Arial" w:hAnsi="Arial"/>
          <w:sz w:val="22"/>
          <w:szCs w:val="22"/>
        </w:rPr>
        <w:t xml:space="preserve"/>
      </w:r>
    </w:p>
    <w:p>
      <w:pPr>
        <w:spacing w:after="80" w:before="80"/>
      </w:pPr>
      <w:r>
        <w:rPr>
          <w:rFonts w:ascii="Arial" w:cs="Arial" w:eastAsia="Arial" w:hAnsi="Arial"/>
          <w:sz w:val="22"/>
          <w:szCs w:val="22"/>
        </w:rPr>
        <w:t xml:space="preserve">DCG has four capital intake channels:</w:t>
      </w:r>
    </w:p>
    <w:p>
      <w:pPr>
        <w:pStyle w:val="ListParagraph"/>
        <w:numPr>
          <w:ilvl w:val="0"/>
          <w:numId w:val="2"/>
        </w:numPr>
        <w:spacing w:after="40" w:before="40"/>
      </w:pPr>
      <w:r>
        <w:rPr>
          <w:rFonts w:ascii="Arial" w:cs="Arial" w:eastAsia="Arial" w:hAnsi="Arial"/>
          <w:b w:val="false"/>
          <w:bCs w:val="false"/>
          <w:sz w:val="22"/>
          <w:szCs w:val="22"/>
        </w:rPr>
        <w:t xml:space="preserve">Round-up at checkout — default on for every family transaction on dopple.com. The transaction is rounded up to the nearest dollar; the delta flows to DCG general fund. Family can toggle off per transaction.</w:t>
      </w:r>
    </w:p>
    <w:p>
      <w:pPr>
        <w:pStyle w:val="ListParagraph"/>
        <w:numPr>
          <w:ilvl w:val="0"/>
          <w:numId w:val="2"/>
        </w:numPr>
        <w:spacing w:after="40" w:before="40"/>
      </w:pPr>
      <w:r>
        <w:rPr>
          <w:rFonts w:ascii="Arial" w:cs="Arial" w:eastAsia="Arial" w:hAnsi="Arial"/>
          <w:b w:val="false"/>
          <w:bCs w:val="false"/>
          <w:sz w:val="22"/>
          <w:szCs w:val="22"/>
        </w:rPr>
        <w:t xml:space="preserve">Tip at checkout — voluntary add-on at the Dopple checkout screen. Pre-set options of $3, $5, $10, or custom amount. Defaults to $3. Goes to DCG general fund.</w:t>
      </w:r>
    </w:p>
    <w:p>
      <w:pPr>
        <w:pStyle w:val="ListParagraph"/>
        <w:numPr>
          <w:ilvl w:val="0"/>
          <w:numId w:val="2"/>
        </w:numPr>
        <w:spacing w:after="40" w:before="40"/>
      </w:pPr>
      <w:r>
        <w:rPr>
          <w:rFonts w:ascii="Arial" w:cs="Arial" w:eastAsia="Arial" w:hAnsi="Arial"/>
          <w:b w:val="false"/>
          <w:bCs w:val="false"/>
          <w:sz w:val="22"/>
          <w:szCs w:val="22"/>
        </w:rPr>
        <w:t xml:space="preserve">Individual donor portal — individuals giving $1k–$50k through dopplecharities.org with optional giving parameters</w:t>
      </w:r>
    </w:p>
    <w:p>
      <w:pPr>
        <w:pStyle w:val="ListParagraph"/>
        <w:numPr>
          <w:ilvl w:val="0"/>
          <w:numId w:val="2"/>
        </w:numPr>
        <w:spacing w:after="40" w:before="40"/>
      </w:pPr>
      <w:r>
        <w:rPr>
          <w:rFonts w:ascii="Arial" w:cs="Arial" w:eastAsia="Arial" w:hAnsi="Arial"/>
          <w:b w:val="false"/>
          <w:bCs w:val="false"/>
          <w:sz w:val="22"/>
          <w:szCs w:val="22"/>
        </w:rPr>
        <w:t xml:space="preserve">DAF / Foundation portal — institutional donors giving $50k+ with full parameter configuration, named programs, and real-time reporting. Integrated via Chariot/DAFpay, which connects Fidelity Charitable, Schwab Charitable (DAFgiving360), Vanguard Charitable, and other major DAF sponsors.</w:t>
      </w:r>
    </w:p>
    <w:p>
      <w:pPr>
        <w:spacing w:after="80" w:before="80"/>
      </w:pPr>
      <w:r>
        <w:rPr>
          <w:rFonts w:ascii="Arial" w:cs="Arial" w:eastAsia="Arial" w:hAnsi="Arial"/>
          <w:sz w:val="22"/>
          <w:szCs w:val="22"/>
        </w:rPr>
        <w:t xml:space="preserve"/>
      </w:r>
    </w:p>
    <w:p>
      <w:pPr>
        <w:spacing w:after="80" w:before="80"/>
      </w:pPr>
      <w:r>
        <w:rPr>
          <w:rFonts w:ascii="Arial" w:cs="Arial" w:eastAsia="Arial" w:hAnsi="Arial"/>
          <w:sz w:val="22"/>
          <w:szCs w:val="22"/>
        </w:rPr>
        <w:t xml:space="preserve">All four channels generate an immediate tax receipt. Round-up and tip donors receive an IRS-compliant email receipt at the moment of transaction. Portal donors receive a receipt at the time of each donation and a consolidated annual statement.</w:t>
      </w:r>
    </w:p>
    <w:p>
      <w:pPr>
        <w:spacing w:after="80" w:before="80"/>
      </w:pPr>
      <w:r>
        <w:rPr>
          <w:rFonts w:ascii="Arial" w:cs="Arial" w:eastAsia="Arial" w:hAnsi="Arial"/>
          <w:sz w:val="22"/>
          <w:szCs w:val="22"/>
        </w:rPr>
        <w:t xml:space="preserve"/>
      </w:r>
    </w:p>
    <w:p>
      <w:pPr>
        <w:spacing w:after="80" w:before="80"/>
      </w:pPr>
      <w:r>
        <w:rPr>
          <w:rFonts w:ascii="Arial" w:cs="Arial" w:eastAsia="Arial" w:hAnsi="Arial"/>
          <w:sz w:val="22"/>
          <w:szCs w:val="22"/>
        </w:rPr>
        <w:t xml:space="preserve">All funders — DCG donors, DAFs, foundations, and institutional grant partners such as Pacific Clinics — access the same unified reporting portal. Access is scoped by funding source. The reporting infrastructure is built once and deployed for all funder types.</w:t>
      </w:r>
    </w:p>
    <w:p>
      <w:pPr>
        <w:pBdr>
          <w:bottom w:val="single" w:color="CCCCCC" w:sz="4" w:space="1"/>
        </w:pBdr>
        <w:spacing w:after="160" w:before="160"/>
      </w:pPr>
    </w:p>
    <w:p>
      <w:pPr>
        <w:pStyle w:val="Heading1"/>
        <w:spacing w:after="120" w:before="360"/>
      </w:pPr>
      <w:r>
        <w:rPr>
          <w:rFonts w:ascii="Arial" w:cs="Arial" w:eastAsia="Arial" w:hAnsi="Arial"/>
          <w:b/>
          <w:bCs/>
          <w:color w:val="1E3D2F"/>
          <w:sz w:val="36"/>
          <w:szCs w:val="36"/>
        </w:rPr>
        <w:t xml:space="preserve">2. Strategic Context</w:t>
      </w:r>
    </w:p>
    <w:p>
      <w:pPr>
        <w:spacing w:after="80" w:before="80"/>
      </w:pPr>
      <w:r>
        <w:rPr>
          <w:rFonts w:ascii="Arial" w:cs="Arial" w:eastAsia="Arial" w:hAnsi="Arial"/>
          <w:sz w:val="22"/>
          <w:szCs w:val="22"/>
        </w:rPr>
        <w:t xml:space="preserve">DCG plugs directly into the Dopple core transaction engine. It is not a standalone donation site — it is the philanthropic capital formation layer of a fintech infrastructure platform. This distinction matters for every product and design decision:</w:t>
      </w:r>
    </w:p>
    <w:p>
      <w:pPr>
        <w:spacing w:after="80" w:before="80"/>
      </w:pPr>
      <w:r>
        <w:rPr>
          <w:rFonts w:ascii="Arial" w:cs="Arial" w:eastAsia="Arial" w:hAnsi="Arial"/>
          <w:sz w:val="22"/>
          <w:szCs w:val="22"/>
        </w:rPr>
        <w:t xml:space="preserve"/>
      </w:r>
    </w:p>
    <w:p>
      <w:pPr>
        <w:pStyle w:val="ListParagraph"/>
        <w:numPr>
          <w:ilvl w:val="0"/>
          <w:numId w:val="2"/>
        </w:numPr>
        <w:spacing w:after="40" w:before="40"/>
      </w:pPr>
      <w:r>
        <w:rPr>
          <w:rFonts w:ascii="Arial" w:cs="Arial" w:eastAsia="Arial" w:hAnsi="Arial"/>
          <w:b w:val="false"/>
          <w:bCs w:val="false"/>
          <w:sz w:val="22"/>
          <w:szCs w:val="22"/>
        </w:rPr>
        <w:t xml:space="preserve">DCG dollars are deployed through the same rail as government grants and employer benefits</w:t>
      </w:r>
    </w:p>
    <w:p>
      <w:pPr>
        <w:pStyle w:val="ListParagraph"/>
        <w:numPr>
          <w:ilvl w:val="0"/>
          <w:numId w:val="2"/>
        </w:numPr>
        <w:spacing w:after="40" w:before="40"/>
      </w:pPr>
      <w:r>
        <w:rPr>
          <w:rFonts w:ascii="Arial" w:cs="Arial" w:eastAsia="Arial" w:hAnsi="Arial"/>
          <w:b w:val="false"/>
          <w:bCs w:val="false"/>
          <w:sz w:val="22"/>
          <w:szCs w:val="22"/>
        </w:rPr>
        <w:t xml:space="preserve">Every DCG transaction generates the same compliance record, funder attribution, and audit trail as an institutional grant</w:t>
      </w:r>
    </w:p>
    <w:p>
      <w:pPr>
        <w:pStyle w:val="ListParagraph"/>
        <w:numPr>
          <w:ilvl w:val="0"/>
          <w:numId w:val="2"/>
        </w:numPr>
        <w:spacing w:after="40" w:before="40"/>
      </w:pPr>
      <w:r>
        <w:rPr>
          <w:rFonts w:ascii="Arial" w:cs="Arial" w:eastAsia="Arial" w:hAnsi="Arial"/>
          <w:b w:val="false"/>
          <w:bCs w:val="false"/>
          <w:sz w:val="22"/>
          <w:szCs w:val="22"/>
        </w:rPr>
        <w:t xml:space="preserve">The unified reporting portal is not a nice-to-have — it is the primary reason sophisticated donors (DAFs, foundations) and institutional partners choose Dopple over alternatives</w:t>
      </w:r>
    </w:p>
    <w:p>
      <w:pPr>
        <w:pStyle w:val="ListParagraph"/>
        <w:numPr>
          <w:ilvl w:val="0"/>
          <w:numId w:val="2"/>
        </w:numPr>
        <w:spacing w:after="40" w:before="40"/>
      </w:pPr>
      <w:r>
        <w:rPr>
          <w:rFonts w:ascii="Arial" w:cs="Arial" w:eastAsia="Arial" w:hAnsi="Arial"/>
          <w:b w:val="false"/>
          <w:bCs w:val="false"/>
          <w:sz w:val="22"/>
          <w:szCs w:val="22"/>
        </w:rPr>
        <w:t xml:space="preserve">Round-up and tip channels are high-frequency, low-dollar mechanisms that aggregate into meaningful capital and create a donor acquisition funnel for larger gifts</w:t>
      </w:r>
    </w:p>
    <w:p>
      <w:pPr>
        <w:pStyle w:val="ListParagraph"/>
        <w:numPr>
          <w:ilvl w:val="0"/>
          <w:numId w:val="2"/>
        </w:numPr>
        <w:spacing w:after="40" w:before="40"/>
      </w:pPr>
      <w:r>
        <w:rPr>
          <w:rFonts w:ascii="Arial" w:cs="Arial" w:eastAsia="Arial" w:hAnsi="Arial"/>
          <w:b w:val="false"/>
          <w:bCs w:val="false"/>
          <w:sz w:val="22"/>
          <w:szCs w:val="22"/>
        </w:rPr>
        <w:t xml:space="preserve">The portal must reflect Dopple’s fintech-grade infrastructure credibility, not a typical nonprofit aesthetic</w:t>
      </w:r>
    </w:p>
    <w:p>
      <w:pPr>
        <w:pBdr>
          <w:bottom w:val="single" w:color="CCCCCC" w:sz="4" w:space="1"/>
        </w:pBdr>
        <w:spacing w:after="160" w:before="160"/>
      </w:pPr>
    </w:p>
    <w:p>
      <w:pPr>
        <w:pStyle w:val="Heading1"/>
        <w:spacing w:after="120" w:before="360"/>
      </w:pPr>
      <w:r>
        <w:rPr>
          <w:rFonts w:ascii="Arial" w:cs="Arial" w:eastAsia="Arial" w:hAnsi="Arial"/>
          <w:b/>
          <w:bCs/>
          <w:color w:val="1E3D2F"/>
          <w:sz w:val="36"/>
          <w:szCs w:val="36"/>
        </w:rPr>
        <w:t xml:space="preserve">3. Unified Reporting Portal — Design Principle</w:t>
      </w:r>
    </w:p>
    <w:p>
      <w:pPr>
        <w:spacing w:after="80" w:before="80"/>
      </w:pPr>
      <w:r>
        <w:rPr>
          <w:rFonts w:ascii="Arial" w:cs="Arial" w:eastAsia="Arial" w:hAnsi="Arial"/>
          <w:sz w:val="22"/>
          <w:szCs w:val="22"/>
        </w:rPr>
        <w:t xml:space="preserve">The reporting engine is identical regardless of where capital originated. Transaction verified, funder attributed, spend by category, demographic breakdown — that data structure is the same whether the money came through a DCG donation or a Pacific Clinics grant.</w:t>
      </w:r>
    </w:p>
    <w:p>
      <w:pPr>
        <w:spacing w:after="80" w:before="80"/>
      </w:pPr>
      <w:r>
        <w:rPr>
          <w:rFonts w:ascii="Arial" w:cs="Arial" w:eastAsia="Arial" w:hAnsi="Arial"/>
          <w:sz w:val="22"/>
          <w:szCs w:val="22"/>
        </w:rPr>
        <w:t xml:space="preserve"/>
      </w:r>
    </w:p>
    <w:p>
      <w:pPr>
        <w:spacing w:after="80" w:before="80"/>
      </w:pPr>
      <w:r>
        <w:rPr>
          <w:rFonts w:ascii="Arial" w:cs="Arial" w:eastAsia="Arial" w:hAnsi="Arial"/>
          <w:sz w:val="22"/>
          <w:szCs w:val="22"/>
        </w:rPr>
        <w:t xml:space="preserve">Building separate reporting interfaces for the same underlying data would waste engineering resources and create an inconsistent experience for partners. The correct approach is one portal, one reporting framework, with access scoped by funding source.</w:t>
      </w:r>
    </w:p>
    <w:p>
      <w:pPr>
        <w:spacing w:after="80" w:before="80"/>
      </w:pPr>
      <w:r>
        <w:rPr>
          <w:rFonts w:ascii="Arial" w:cs="Arial" w:eastAsia="Arial" w:hAnsi="Arial"/>
          <w:sz w:val="22"/>
          <w:szCs w:val="22"/>
        </w:rPr>
        <w:t xml:space="preserve"/>
      </w:r>
    </w:p>
    <w:p>
      <w:pPr>
        <w:pStyle w:val="Heading2"/>
        <w:spacing w:after="100" w:before="280"/>
      </w:pPr>
      <w:r>
        <w:rPr>
          <w:rFonts w:ascii="Arial" w:cs="Arial" w:eastAsia="Arial" w:hAnsi="Arial"/>
          <w:b/>
          <w:bCs/>
          <w:color w:val="1E3D2F"/>
          <w:sz w:val="28"/>
          <w:szCs w:val="28"/>
        </w:rPr>
        <w:t xml:space="preserve">3.1 Access Model</w:t>
      </w:r>
    </w:p>
    <w:p>
      <w:pPr>
        <w:spacing w:after="80" w:before="80"/>
      </w:pPr>
      <w:r>
        <w:rPr>
          <w:rFonts w:ascii="Arial" w:cs="Arial" w:eastAsia="Arial" w:hAnsi="Arial"/>
          <w:sz w:val="22"/>
          <w:szCs w:val="22"/>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7360"/>
      </w:tblGrid>
      <w:tr>
        <w:tc>
          <w:tcPr>
            <w:tcW w:type="dxa" w:w="2000"/>
            <w:tcBorders>
              <w:top w:val="single" w:color="CCCCCC" w:sz="1"/>
              <w:left w:val="single" w:color="CCCCCC" w:sz="1"/>
              <w:bottom w:val="single" w:color="CCCCCC" w:sz="1"/>
              <w:right w:val="single" w:color="CCCCCC" w:sz="1"/>
            </w:tcBorders>
            <w:shd w:fill="E8F0EC" w:val="clear"/>
            <w:tcMar>
              <w:top w:type="dxa" w:w="80"/>
              <w:left w:type="dxa" w:w="120"/>
              <w:bottom w:type="dxa" w:w="80"/>
              <w:right w:type="dxa" w:w="120"/>
            </w:tcMar>
          </w:tcPr>
          <w:p>
            <w:r>
              <w:rPr>
                <w:rFonts w:ascii="Arial" w:cs="Arial" w:eastAsia="Arial" w:hAnsi="Arial"/>
                <w:b/>
                <w:bCs/>
                <w:sz w:val="20"/>
                <w:szCs w:val="20"/>
              </w:rPr>
              <w:t xml:space="preserve">DCG donors</w:t>
            </w:r>
          </w:p>
        </w:tc>
        <w:tc>
          <w:tcPr>
            <w:tcW w:type="dxa" w:w="7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Sign up at dopplecharities.org. See transactions funded by their pool only.</w:t>
            </w:r>
          </w:p>
        </w:tc>
      </w:tr>
      <w:tr>
        <w:tc>
          <w:tcPr>
            <w:tcW w:type="dxa" w:w="2000"/>
            <w:tcBorders>
              <w:top w:val="single" w:color="CCCCCC" w:sz="1"/>
              <w:left w:val="single" w:color="CCCCCC" w:sz="1"/>
              <w:bottom w:val="single" w:color="CCCCCC" w:sz="1"/>
              <w:right w:val="single" w:color="CCCCCC" w:sz="1"/>
            </w:tcBorders>
            <w:shd w:fill="E8F0EC" w:val="clear"/>
            <w:tcMar>
              <w:top w:type="dxa" w:w="80"/>
              <w:left w:type="dxa" w:w="120"/>
              <w:bottom w:type="dxa" w:w="80"/>
              <w:right w:type="dxa" w:w="120"/>
            </w:tcMar>
          </w:tcPr>
          <w:p>
            <w:r>
              <w:rPr>
                <w:rFonts w:ascii="Arial" w:cs="Arial" w:eastAsia="Arial" w:hAnsi="Arial"/>
                <w:b/>
                <w:bCs/>
                <w:sz w:val="20"/>
                <w:szCs w:val="20"/>
              </w:rPr>
              <w:t xml:space="preserve">DAF / Foundation donors</w:t>
            </w:r>
          </w:p>
        </w:tc>
        <w:tc>
          <w:tcPr>
            <w:tcW w:type="dxa" w:w="7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Sign up at dopplecharities.org. See transactions funded by their grant pool, with parameter-level reporting.</w:t>
            </w:r>
          </w:p>
        </w:tc>
      </w:tr>
      <w:tr>
        <w:tc>
          <w:tcPr>
            <w:tcW w:type="dxa" w:w="2000"/>
            <w:tcBorders>
              <w:top w:val="single" w:color="CCCCCC" w:sz="1"/>
              <w:left w:val="single" w:color="CCCCCC" w:sz="1"/>
              <w:bottom w:val="single" w:color="CCCCCC" w:sz="1"/>
              <w:right w:val="single" w:color="CCCCCC" w:sz="1"/>
            </w:tcBorders>
            <w:shd w:fill="E8F0EC" w:val="clear"/>
            <w:tcMar>
              <w:top w:type="dxa" w:w="80"/>
              <w:left w:type="dxa" w:w="120"/>
              <w:bottom w:type="dxa" w:w="80"/>
              <w:right w:type="dxa" w:w="120"/>
            </w:tcMar>
          </w:tcPr>
          <w:p>
            <w:r>
              <w:rPr>
                <w:rFonts w:ascii="Arial" w:cs="Arial" w:eastAsia="Arial" w:hAnsi="Arial"/>
                <w:b/>
                <w:bCs/>
                <w:sz w:val="20"/>
                <w:szCs w:val="20"/>
              </w:rPr>
              <w:t xml:space="preserve">Institutional grant partners</w:t>
            </w:r>
          </w:p>
        </w:tc>
        <w:tc>
          <w:tcPr>
            <w:tcW w:type="dxa" w:w="7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Provisioned by Dopple admin. See transactions attributable to their grant cohort only. Same dashboard, scoped to their data.</w:t>
            </w:r>
          </w:p>
        </w:tc>
      </w:tr>
      <w:tr>
        <w:tc>
          <w:tcPr>
            <w:tcW w:type="dxa" w:w="2000"/>
            <w:tcBorders>
              <w:top w:val="single" w:color="CCCCCC" w:sz="1"/>
              <w:left w:val="single" w:color="CCCCCC" w:sz="1"/>
              <w:bottom w:val="single" w:color="CCCCCC" w:sz="1"/>
              <w:right w:val="single" w:color="CCCCCC" w:sz="1"/>
            </w:tcBorders>
            <w:shd w:fill="E8F0EC" w:val="clear"/>
            <w:tcMar>
              <w:top w:type="dxa" w:w="80"/>
              <w:left w:type="dxa" w:w="120"/>
              <w:bottom w:type="dxa" w:w="80"/>
              <w:right w:type="dxa" w:w="120"/>
            </w:tcMar>
          </w:tcPr>
          <w:p>
            <w:r>
              <w:rPr>
                <w:rFonts w:ascii="Arial" w:cs="Arial" w:eastAsia="Arial" w:hAnsi="Arial"/>
                <w:b/>
                <w:bCs/>
                <w:sz w:val="20"/>
                <w:szCs w:val="20"/>
              </w:rPr>
              <w:t xml:space="preserve">Dopple admin</w:t>
            </w:r>
          </w:p>
        </w:tc>
        <w:tc>
          <w:tcPr>
            <w:tcW w:type="dxa" w:w="7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Full visibility across all funder pools and all transactions.</w:t>
            </w:r>
          </w:p>
        </w:tc>
      </w:tr>
      <w:tr>
        <w:tc>
          <w:tcPr>
            <w:tcW w:type="dxa" w:w="2000"/>
            <w:tcBorders>
              <w:top w:val="single" w:color="CCCCCC" w:sz="1"/>
              <w:left w:val="single" w:color="CCCCCC" w:sz="1"/>
              <w:bottom w:val="single" w:color="CCCCCC" w:sz="1"/>
              <w:right w:val="single" w:color="CCCCCC" w:sz="1"/>
            </w:tcBorders>
            <w:shd w:fill="E8F0EC" w:val="clear"/>
            <w:tcMar>
              <w:top w:type="dxa" w:w="80"/>
              <w:left w:type="dxa" w:w="120"/>
              <w:bottom w:type="dxa" w:w="80"/>
              <w:right w:type="dxa" w:w="120"/>
            </w:tcMar>
          </w:tcPr>
          <w:p>
            <w:r>
              <w:rPr>
                <w:rFonts w:ascii="Arial" w:cs="Arial" w:eastAsia="Arial" w:hAnsi="Arial"/>
                <w:b/>
                <w:bCs/>
                <w:sz w:val="20"/>
                <w:szCs w:val="20"/>
              </w:rPr>
              <w:t xml:space="preserve">Cross-visibility</w:t>
            </w:r>
          </w:p>
        </w:tc>
        <w:tc>
          <w:tcPr>
            <w:tcW w:type="dxa" w:w="7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No funder sees another funder’s data under any circumstance.</w:t>
            </w:r>
          </w:p>
        </w:tc>
      </w:tr>
    </w:tbl>
    <w:p>
      <w:pPr>
        <w:spacing w:after="80" w:before="80"/>
      </w:pPr>
      <w:r>
        <w:rPr>
          <w:rFonts w:ascii="Arial" w:cs="Arial" w:eastAsia="Arial" w:hAnsi="Arial"/>
          <w:sz w:val="22"/>
          <w:szCs w:val="22"/>
        </w:rPr>
        <w:t xml:space="preserve"/>
      </w:r>
    </w:p>
    <w:p>
      <w:pPr>
        <w:pStyle w:val="Heading2"/>
        <w:spacing w:after="100" w:before="280"/>
      </w:pPr>
      <w:r>
        <w:rPr>
          <w:rFonts w:ascii="Arial" w:cs="Arial" w:eastAsia="Arial" w:hAnsi="Arial"/>
          <w:b/>
          <w:bCs/>
          <w:color w:val="1E3D2F"/>
          <w:sz w:val="28"/>
          <w:szCs w:val="28"/>
        </w:rPr>
        <w:t xml:space="preserve">3.2 Strategic Benefit of Unified Portal</w:t>
      </w:r>
    </w:p>
    <w:p>
      <w:pPr>
        <w:spacing w:after="80" w:before="80"/>
      </w:pPr>
      <w:r>
        <w:rPr>
          <w:rFonts w:ascii="Arial" w:cs="Arial" w:eastAsia="Arial" w:hAnsi="Arial"/>
          <w:sz w:val="22"/>
          <w:szCs w:val="22"/>
        </w:rPr>
        <w:t xml:space="preserve">As institutional partners like Pacific Clinics become familiar with the reporting dashboard, the conversation about layering DCG matching dollars on top of their existing grant becomes natural — they are already in the system. One conversation to expand their pool. This is a built-in upsell path that requires no additional product work.</w:t>
      </w:r>
    </w:p>
    <w:p>
      <w:pPr>
        <w:pBdr>
          <w:bottom w:val="single" w:color="CCCCCC" w:sz="4" w:space="1"/>
        </w:pBdr>
        <w:spacing w:after="160" w:before="160"/>
      </w:pPr>
    </w:p>
    <w:p>
      <w:pPr>
        <w:pStyle w:val="Heading1"/>
        <w:spacing w:after="120" w:before="360"/>
      </w:pPr>
      <w:r>
        <w:rPr>
          <w:rFonts w:ascii="Arial" w:cs="Arial" w:eastAsia="Arial" w:hAnsi="Arial"/>
          <w:b/>
          <w:bCs/>
          <w:color w:val="1E3D2F"/>
          <w:sz w:val="36"/>
          <w:szCs w:val="36"/>
        </w:rPr>
        <w:t xml:space="preserve">4. Target Users</w:t>
      </w:r>
    </w:p>
    <w:p>
      <w:pPr>
        <w:spacing w:after="80" w:before="80"/>
      </w:pPr>
      <w:r>
        <w:rPr>
          <w:rFonts w:ascii="Arial" w:cs="Arial" w:eastAsia="Arial" w:hAnsi="Arial"/>
          <w:sz w:val="22"/>
          <w:szCs w:val="22"/>
        </w:rPr>
        <w:t xml:space="preserve"/>
      </w:r>
    </w:p>
    <w:p>
      <w:pPr>
        <w:pStyle w:val="Heading2"/>
        <w:spacing w:after="100" w:before="280"/>
      </w:pPr>
      <w:r>
        <w:rPr>
          <w:rFonts w:ascii="Arial" w:cs="Arial" w:eastAsia="Arial" w:hAnsi="Arial"/>
          <w:b/>
          <w:bCs/>
          <w:color w:val="1E3D2F"/>
          <w:sz w:val="28"/>
          <w:szCs w:val="28"/>
        </w:rPr>
        <w:t xml:space="preserve">4.1 Round-Up and Tip Donors</w:t>
      </w:r>
    </w:p>
    <w:p>
      <w:pPr>
        <w:spacing w:after="80" w:before="80"/>
      </w:pPr>
      <w:r>
        <w:rPr>
          <w:rFonts w:ascii="Arial" w:cs="Arial" w:eastAsia="Arial" w:hAnsi="Arial"/>
          <w:sz w:val="22"/>
          <w:szCs w:val="22"/>
        </w:rPr>
        <w:t xml:space="preserve">Families transacting on dopple.com. Highest volume, lowest dollar-per-donor channel. Contribute incidentally at checkout. Not active donors — participants in a frictionless giving mechanic.</w:t>
      </w:r>
    </w:p>
    <w:p>
      <w:pPr>
        <w:spacing w:after="80" w:before="80"/>
      </w:pPr>
      <w:r>
        <w:rPr>
          <w:rFonts w:ascii="Arial" w:cs="Arial" w:eastAsia="Arial" w:hAnsi="Arial"/>
          <w:sz w:val="22"/>
          <w:szCs w:val="22"/>
        </w:rPr>
        <w:t xml:space="preserve"/>
      </w:r>
    </w:p>
    <w:p>
      <w:pPr>
        <w:pStyle w:val="ListParagraph"/>
        <w:numPr>
          <w:ilvl w:val="0"/>
          <w:numId w:val="2"/>
        </w:numPr>
        <w:spacing w:after="40" w:before="40"/>
      </w:pPr>
      <w:r>
        <w:rPr>
          <w:rFonts w:ascii="Arial" w:cs="Arial" w:eastAsia="Arial" w:hAnsi="Arial"/>
          <w:b w:val="false"/>
          <w:bCs w:val="false"/>
          <w:sz w:val="22"/>
          <w:szCs w:val="22"/>
        </w:rPr>
        <w:t xml:space="preserve">Need: zero friction, immediate tax receipt, honest disclosure, easy opt-out</w:t>
      </w:r>
    </w:p>
    <w:p>
      <w:pPr>
        <w:pStyle w:val="ListParagraph"/>
        <w:numPr>
          <w:ilvl w:val="0"/>
          <w:numId w:val="2"/>
        </w:numPr>
        <w:spacing w:after="40" w:before="40"/>
      </w:pPr>
      <w:r>
        <w:rPr>
          <w:rFonts w:ascii="Arial" w:cs="Arial" w:eastAsia="Arial" w:hAnsi="Arial"/>
          <w:b w:val="false"/>
          <w:bCs w:val="false"/>
          <w:sz w:val="22"/>
          <w:szCs w:val="22"/>
        </w:rPr>
        <w:t xml:space="preserve">Acquisition path: tax receipt email includes soft CTA to create a DCG donor account</w:t>
      </w:r>
    </w:p>
    <w:p>
      <w:pPr>
        <w:spacing w:after="80" w:before="80"/>
      </w:pPr>
      <w:r>
        <w:rPr>
          <w:rFonts w:ascii="Arial" w:cs="Arial" w:eastAsia="Arial" w:hAnsi="Arial"/>
          <w:sz w:val="22"/>
          <w:szCs w:val="22"/>
        </w:rPr>
        <w:t xml:space="preserve"/>
      </w:r>
    </w:p>
    <w:p>
      <w:pPr>
        <w:pStyle w:val="Heading2"/>
        <w:spacing w:after="100" w:before="280"/>
      </w:pPr>
      <w:r>
        <w:rPr>
          <w:rFonts w:ascii="Arial" w:cs="Arial" w:eastAsia="Arial" w:hAnsi="Arial"/>
          <w:b/>
          <w:bCs/>
          <w:color w:val="1E3D2F"/>
          <w:sz w:val="28"/>
          <w:szCs w:val="28"/>
        </w:rPr>
        <w:t xml:space="preserve">4.2 Donor-Advised Funds (DAFs)</w:t>
      </w:r>
    </w:p>
    <w:p>
      <w:pPr>
        <w:spacing w:after="80" w:before="80"/>
      </w:pPr>
      <w:r>
        <w:rPr>
          <w:rFonts w:ascii="Arial" w:cs="Arial" w:eastAsia="Arial" w:hAnsi="Arial"/>
          <w:sz w:val="22"/>
          <w:szCs w:val="22"/>
        </w:rPr>
        <w:t xml:space="preserve">Primary institutional target. Significant undeployed capital, pressure to demonstrate impact. Integrated via Chariot/DAFpay for direct grant recommendation without leaving the DCG site.</w:t>
      </w:r>
    </w:p>
    <w:p>
      <w:pPr>
        <w:spacing w:after="80" w:before="80"/>
      </w:pPr>
      <w:r>
        <w:rPr>
          <w:rFonts w:ascii="Arial" w:cs="Arial" w:eastAsia="Arial" w:hAnsi="Arial"/>
          <w:sz w:val="22"/>
          <w:szCs w:val="22"/>
        </w:rPr>
        <w:t xml:space="preserve"/>
      </w:r>
    </w:p>
    <w:p>
      <w:pPr>
        <w:pStyle w:val="ListParagraph"/>
        <w:numPr>
          <w:ilvl w:val="0"/>
          <w:numId w:val="2"/>
        </w:numPr>
        <w:spacing w:after="40" w:before="40"/>
      </w:pPr>
      <w:r>
        <w:rPr>
          <w:rFonts w:ascii="Arial" w:cs="Arial" w:eastAsia="Arial" w:hAnsi="Arial"/>
          <w:b w:val="false"/>
          <w:bCs w:val="false"/>
          <w:sz w:val="22"/>
          <w:szCs w:val="22"/>
        </w:rPr>
        <w:t xml:space="preserve">Need: parameter configuration, real-time dashboard, transaction-level audit trail, automatic impact reports</w:t>
      </w:r>
    </w:p>
    <w:p>
      <w:pPr>
        <w:pStyle w:val="ListParagraph"/>
        <w:numPr>
          <w:ilvl w:val="0"/>
          <w:numId w:val="2"/>
        </w:numPr>
        <w:spacing w:after="40" w:before="40"/>
      </w:pPr>
      <w:r>
        <w:rPr>
          <w:rFonts w:ascii="Arial" w:cs="Arial" w:eastAsia="Arial" w:hAnsi="Arial"/>
          <w:b w:val="false"/>
          <w:bCs w:val="false"/>
          <w:sz w:val="22"/>
          <w:szCs w:val="22"/>
        </w:rPr>
        <w:t xml:space="preserve">Integration: Chariot/DAFpay connects Fidelity Charitable, Schwab Charitable, Vanguard Charitable, and other major sponsors</w:t>
      </w:r>
    </w:p>
    <w:p>
      <w:pPr>
        <w:spacing w:after="80" w:before="80"/>
      </w:pPr>
      <w:r>
        <w:rPr>
          <w:rFonts w:ascii="Arial" w:cs="Arial" w:eastAsia="Arial" w:hAnsi="Arial"/>
          <w:sz w:val="22"/>
          <w:szCs w:val="22"/>
        </w:rPr>
        <w:t xml:space="preserve"/>
      </w:r>
    </w:p>
    <w:p>
      <w:pPr>
        <w:pStyle w:val="Heading2"/>
        <w:spacing w:after="100" w:before="280"/>
      </w:pPr>
      <w:r>
        <w:rPr>
          <w:rFonts w:ascii="Arial" w:cs="Arial" w:eastAsia="Arial" w:hAnsi="Arial"/>
          <w:b/>
          <w:bCs/>
          <w:color w:val="1E3D2F"/>
          <w:sz w:val="28"/>
          <w:szCs w:val="28"/>
        </w:rPr>
        <w:t xml:space="preserve">4.3 Foundations</w:t>
      </w:r>
    </w:p>
    <w:p>
      <w:pPr>
        <w:spacing w:after="80" w:before="80"/>
      </w:pPr>
      <w:r>
        <w:rPr>
          <w:rFonts w:ascii="Arial" w:cs="Arial" w:eastAsia="Arial" w:hAnsi="Arial"/>
          <w:sz w:val="22"/>
          <w:szCs w:val="22"/>
        </w:rPr>
        <w:t xml:space="preserve">Program officers who need grantee accountability for board reporting. Named program visibility and exportable reports are the primary value drivers.</w:t>
      </w:r>
    </w:p>
    <w:p>
      <w:pPr>
        <w:spacing w:after="80" w:before="80"/>
      </w:pPr>
      <w:r>
        <w:rPr>
          <w:rFonts w:ascii="Arial" w:cs="Arial" w:eastAsia="Arial" w:hAnsi="Arial"/>
          <w:sz w:val="22"/>
          <w:szCs w:val="22"/>
        </w:rPr>
        <w:t xml:space="preserve"/>
      </w:r>
    </w:p>
    <w:p>
      <w:pPr>
        <w:pStyle w:val="ListParagraph"/>
        <w:numPr>
          <w:ilvl w:val="0"/>
          <w:numId w:val="2"/>
        </w:numPr>
        <w:spacing w:after="40" w:before="40"/>
      </w:pPr>
      <w:r>
        <w:rPr>
          <w:rFonts w:ascii="Arial" w:cs="Arial" w:eastAsia="Arial" w:hAnsi="Arial"/>
          <w:b w:val="false"/>
          <w:bCs w:val="false"/>
          <w:sz w:val="22"/>
          <w:szCs w:val="22"/>
        </w:rPr>
        <w:t xml:space="preserve">Need: custom program parameters, demographic/sector breakdowns, exportable board-ready reports</w:t>
      </w:r>
    </w:p>
    <w:p>
      <w:pPr>
        <w:spacing w:after="80" w:before="80"/>
      </w:pPr>
      <w:r>
        <w:rPr>
          <w:rFonts w:ascii="Arial" w:cs="Arial" w:eastAsia="Arial" w:hAnsi="Arial"/>
          <w:sz w:val="22"/>
          <w:szCs w:val="22"/>
        </w:rPr>
        <w:t xml:space="preserve"/>
      </w:r>
    </w:p>
    <w:p>
      <w:pPr>
        <w:pStyle w:val="Heading2"/>
        <w:spacing w:after="100" w:before="280"/>
      </w:pPr>
      <w:r>
        <w:rPr>
          <w:rFonts w:ascii="Arial" w:cs="Arial" w:eastAsia="Arial" w:hAnsi="Arial"/>
          <w:b/>
          <w:bCs/>
          <w:color w:val="1E3D2F"/>
          <w:sz w:val="28"/>
          <w:szCs w:val="28"/>
        </w:rPr>
        <w:t xml:space="preserve">4.4 Individual Donors</w:t>
      </w:r>
    </w:p>
    <w:p>
      <w:pPr>
        <w:spacing w:after="80" w:before="80"/>
      </w:pPr>
      <w:r>
        <w:rPr>
          <w:rFonts w:ascii="Arial" w:cs="Arial" w:eastAsia="Arial" w:hAnsi="Arial"/>
          <w:sz w:val="22"/>
          <w:szCs w:val="22"/>
        </w:rPr>
        <w:t xml:space="preserve">Individuals giving $1k–$50k motivated by the matching dollar leverage mechanic.</w:t>
      </w:r>
    </w:p>
    <w:p>
      <w:pPr>
        <w:spacing w:after="80" w:before="80"/>
      </w:pPr>
      <w:r>
        <w:rPr>
          <w:rFonts w:ascii="Arial" w:cs="Arial" w:eastAsia="Arial" w:hAnsi="Arial"/>
          <w:sz w:val="22"/>
          <w:szCs w:val="22"/>
        </w:rPr>
        <w:t xml:space="preserve"/>
      </w:r>
    </w:p>
    <w:p>
      <w:pPr>
        <w:pStyle w:val="ListParagraph"/>
        <w:numPr>
          <w:ilvl w:val="0"/>
          <w:numId w:val="2"/>
        </w:numPr>
        <w:spacing w:after="40" w:before="40"/>
      </w:pPr>
      <w:r>
        <w:rPr>
          <w:rFonts w:ascii="Arial" w:cs="Arial" w:eastAsia="Arial" w:hAnsi="Arial"/>
          <w:b w:val="false"/>
          <w:bCs w:val="false"/>
          <w:sz w:val="22"/>
          <w:szCs w:val="22"/>
        </w:rPr>
        <w:t xml:space="preserve">Need: simple onboarding, sector/region focus, visibility into what their dollars purchased, tax documentation</w:t>
      </w:r>
    </w:p>
    <w:p>
      <w:pPr>
        <w:spacing w:after="80" w:before="80"/>
      </w:pPr>
      <w:r>
        <w:rPr>
          <w:rFonts w:ascii="Arial" w:cs="Arial" w:eastAsia="Arial" w:hAnsi="Arial"/>
          <w:sz w:val="22"/>
          <w:szCs w:val="22"/>
        </w:rPr>
        <w:t xml:space="preserve"/>
      </w:r>
    </w:p>
    <w:p>
      <w:pPr>
        <w:pStyle w:val="Heading2"/>
        <w:spacing w:after="100" w:before="280"/>
      </w:pPr>
      <w:r>
        <w:rPr>
          <w:rFonts w:ascii="Arial" w:cs="Arial" w:eastAsia="Arial" w:hAnsi="Arial"/>
          <w:b/>
          <w:bCs/>
          <w:color w:val="1E3D2F"/>
          <w:sz w:val="28"/>
          <w:szCs w:val="28"/>
        </w:rPr>
        <w:t xml:space="preserve">4.5 Institutional Grant Partners</w:t>
      </w:r>
    </w:p>
    <w:p>
      <w:pPr>
        <w:spacing w:after="80" w:before="80"/>
      </w:pPr>
      <w:r>
        <w:rPr>
          <w:rFonts w:ascii="Arial" w:cs="Arial" w:eastAsia="Arial" w:hAnsi="Arial"/>
          <w:sz w:val="22"/>
          <w:szCs w:val="22"/>
        </w:rPr>
        <w:t xml:space="preserve">Pacific Clinics, unions, community colleges, and other partners who deploy capital through the Dopple rail via grants in the Dopple for-profit entity. Provisioned by Dopple admin into the unified portal with a scoped view of their cohort’s data.</w:t>
      </w:r>
    </w:p>
    <w:p>
      <w:pPr>
        <w:spacing w:after="80" w:before="80"/>
      </w:pPr>
      <w:r>
        <w:rPr>
          <w:rFonts w:ascii="Arial" w:cs="Arial" w:eastAsia="Arial" w:hAnsi="Arial"/>
          <w:sz w:val="22"/>
          <w:szCs w:val="22"/>
        </w:rPr>
        <w:t xml:space="preserve"/>
      </w:r>
    </w:p>
    <w:p>
      <w:pPr>
        <w:pStyle w:val="ListParagraph"/>
        <w:numPr>
          <w:ilvl w:val="0"/>
          <w:numId w:val="2"/>
        </w:numPr>
        <w:spacing w:after="40" w:before="40"/>
      </w:pPr>
      <w:r>
        <w:rPr>
          <w:rFonts w:ascii="Arial" w:cs="Arial" w:eastAsia="Arial" w:hAnsi="Arial"/>
          <w:b w:val="false"/>
          <w:bCs w:val="false"/>
          <w:sz w:val="22"/>
          <w:szCs w:val="22"/>
        </w:rPr>
        <w:t xml:space="preserve">Need: real-time deployment data, grant-compliant impact reports (SAMHSA, DHCS, philanthropic grantmakers), cohort-level spend patterns</w:t>
      </w:r>
    </w:p>
    <w:p>
      <w:pPr>
        <w:pBdr>
          <w:bottom w:val="single" w:color="CCCCCC" w:sz="4" w:space="1"/>
        </w:pBdr>
        <w:spacing w:after="160" w:before="160"/>
      </w:pPr>
    </w:p>
    <w:p>
      <w:pPr>
        <w:pStyle w:val="Heading1"/>
        <w:spacing w:after="120" w:before="360"/>
      </w:pPr>
      <w:r>
        <w:rPr>
          <w:rFonts w:ascii="Arial" w:cs="Arial" w:eastAsia="Arial" w:hAnsi="Arial"/>
          <w:b/>
          <w:bCs/>
          <w:color w:val="1E3D2F"/>
          <w:sz w:val="36"/>
          <w:szCs w:val="36"/>
        </w:rPr>
        <w:t xml:space="preserve">5. Site Structure — dopplecharities.org</w:t>
      </w:r>
    </w:p>
    <w:p>
      <w:pPr>
        <w:spacing w:after="80" w:before="80"/>
      </w:pPr>
      <w:r>
        <w:rPr>
          <w:rFonts w:ascii="Arial" w:cs="Arial" w:eastAsia="Arial" w:hAnsi="Arial"/>
          <w:sz w:val="22"/>
          <w:szCs w:val="22"/>
        </w:rPr>
        <w:t xml:space="preserve"/>
      </w:r>
    </w:p>
    <w:p>
      <w:pPr>
        <w:pStyle w:val="Heading2"/>
        <w:spacing w:after="100" w:before="280"/>
      </w:pPr>
      <w:r>
        <w:rPr>
          <w:rFonts w:ascii="Arial" w:cs="Arial" w:eastAsia="Arial" w:hAnsi="Arial"/>
          <w:b/>
          <w:bCs/>
          <w:color w:val="1E3D2F"/>
          <w:sz w:val="28"/>
          <w:szCs w:val="28"/>
        </w:rPr>
        <w:t xml:space="preserve">5.1 Public Pages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7360"/>
      </w:tblGrid>
      <w:tr>
        <w:tc>
          <w:tcPr>
            <w:tcW w:type="dxa" w:w="2000"/>
            <w:tcBorders>
              <w:top w:val="single" w:color="CCCCCC" w:sz="1"/>
              <w:left w:val="single" w:color="CCCCCC" w:sz="1"/>
              <w:bottom w:val="single" w:color="CCCCCC" w:sz="1"/>
              <w:right w:val="single" w:color="CCCCCC" w:sz="1"/>
            </w:tcBorders>
            <w:shd w:fill="E8F0EC" w:val="clear"/>
            <w:tcMar>
              <w:top w:type="dxa" w:w="80"/>
              <w:left w:type="dxa" w:w="120"/>
              <w:bottom w:type="dxa" w:w="80"/>
              <w:right w:type="dxa" w:w="120"/>
            </w:tcMar>
          </w:tcPr>
          <w:p>
            <w:r>
              <w:rPr>
                <w:rFonts w:ascii="Arial" w:cs="Arial" w:eastAsia="Arial" w:hAnsi="Arial"/>
                <w:b/>
                <w:bCs/>
                <w:sz w:val="20"/>
                <w:szCs w:val="20"/>
              </w:rPr>
              <w:t xml:space="preserve">Home</w:t>
            </w:r>
          </w:p>
        </w:tc>
        <w:tc>
          <w:tcPr>
            <w:tcW w:type="dxa" w:w="7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Hero, mission statement, how it works (3 steps), social proof stats, donor CTA, family stories</w:t>
            </w:r>
          </w:p>
        </w:tc>
      </w:tr>
      <w:tr>
        <w:tc>
          <w:tcPr>
            <w:tcW w:type="dxa" w:w="2000"/>
            <w:tcBorders>
              <w:top w:val="single" w:color="CCCCCC" w:sz="1"/>
              <w:left w:val="single" w:color="CCCCCC" w:sz="1"/>
              <w:bottom w:val="single" w:color="CCCCCC" w:sz="1"/>
              <w:right w:val="single" w:color="CCCCCC" w:sz="1"/>
            </w:tcBorders>
            <w:shd w:fill="E8F0EC" w:val="clear"/>
            <w:tcMar>
              <w:top w:type="dxa" w:w="80"/>
              <w:left w:type="dxa" w:w="120"/>
              <w:bottom w:type="dxa" w:w="80"/>
              <w:right w:type="dxa" w:w="120"/>
            </w:tcMar>
          </w:tcPr>
          <w:p>
            <w:r>
              <w:rPr>
                <w:rFonts w:ascii="Arial" w:cs="Arial" w:eastAsia="Arial" w:hAnsi="Arial"/>
                <w:b/>
                <w:bCs/>
                <w:sz w:val="20"/>
                <w:szCs w:val="20"/>
              </w:rPr>
              <w:t xml:space="preserve">How It Works</w:t>
            </w:r>
          </w:p>
        </w:tc>
        <w:tc>
          <w:tcPr>
            <w:tcW w:type="dxa" w:w="7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Matching dollar mechanic, fund blending, compliance reporting</w:t>
            </w:r>
          </w:p>
        </w:tc>
      </w:tr>
      <w:tr>
        <w:tc>
          <w:tcPr>
            <w:tcW w:type="dxa" w:w="2000"/>
            <w:tcBorders>
              <w:top w:val="single" w:color="CCCCCC" w:sz="1"/>
              <w:left w:val="single" w:color="CCCCCC" w:sz="1"/>
              <w:bottom w:val="single" w:color="CCCCCC" w:sz="1"/>
              <w:right w:val="single" w:color="CCCCCC" w:sz="1"/>
            </w:tcBorders>
            <w:shd w:fill="E8F0EC" w:val="clear"/>
            <w:tcMar>
              <w:top w:type="dxa" w:w="80"/>
              <w:left w:type="dxa" w:w="120"/>
              <w:bottom w:type="dxa" w:w="80"/>
              <w:right w:type="dxa" w:w="120"/>
            </w:tcMar>
          </w:tcPr>
          <w:p>
            <w:r>
              <w:rPr>
                <w:rFonts w:ascii="Arial" w:cs="Arial" w:eastAsia="Arial" w:hAnsi="Arial"/>
                <w:b/>
                <w:bCs/>
                <w:sz w:val="20"/>
                <w:szCs w:val="20"/>
              </w:rPr>
              <w:t xml:space="preserve">For Donors</w:t>
            </w:r>
          </w:p>
        </w:tc>
        <w:tc>
          <w:tcPr>
            <w:tcW w:type="dxa" w:w="7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DAF/foundation-specific landing page emphasizing accountability, parameters, reporting</w:t>
            </w:r>
          </w:p>
        </w:tc>
      </w:tr>
      <w:tr>
        <w:tc>
          <w:tcPr>
            <w:tcW w:type="dxa" w:w="2000"/>
            <w:tcBorders>
              <w:top w:val="single" w:color="CCCCCC" w:sz="1"/>
              <w:left w:val="single" w:color="CCCCCC" w:sz="1"/>
              <w:bottom w:val="single" w:color="CCCCCC" w:sz="1"/>
              <w:right w:val="single" w:color="CCCCCC" w:sz="1"/>
            </w:tcBorders>
            <w:shd w:fill="E8F0EC" w:val="clear"/>
            <w:tcMar>
              <w:top w:type="dxa" w:w="80"/>
              <w:left w:type="dxa" w:w="120"/>
              <w:bottom w:type="dxa" w:w="80"/>
              <w:right w:type="dxa" w:w="120"/>
            </w:tcMar>
          </w:tcPr>
          <w:p>
            <w:r>
              <w:rPr>
                <w:rFonts w:ascii="Arial" w:cs="Arial" w:eastAsia="Arial" w:hAnsi="Arial"/>
                <w:b/>
                <w:bCs/>
                <w:sz w:val="20"/>
                <w:szCs w:val="20"/>
              </w:rPr>
              <w:t xml:space="preserve">Impact</w:t>
            </w:r>
          </w:p>
        </w:tc>
        <w:tc>
          <w:tcPr>
            <w:tcW w:type="dxa" w:w="7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Aggregate statistics, family stories, sector breakdowns, geographic reach</w:t>
            </w:r>
          </w:p>
        </w:tc>
      </w:tr>
      <w:tr>
        <w:tc>
          <w:tcPr>
            <w:tcW w:type="dxa" w:w="2000"/>
            <w:tcBorders>
              <w:top w:val="single" w:color="CCCCCC" w:sz="1"/>
              <w:left w:val="single" w:color="CCCCCC" w:sz="1"/>
              <w:bottom w:val="single" w:color="CCCCCC" w:sz="1"/>
              <w:right w:val="single" w:color="CCCCCC" w:sz="1"/>
            </w:tcBorders>
            <w:shd w:fill="E8F0EC" w:val="clear"/>
            <w:tcMar>
              <w:top w:type="dxa" w:w="80"/>
              <w:left w:type="dxa" w:w="120"/>
              <w:bottom w:type="dxa" w:w="80"/>
              <w:right w:type="dxa" w:w="120"/>
            </w:tcMar>
          </w:tcPr>
          <w:p>
            <w:r>
              <w:rPr>
                <w:rFonts w:ascii="Arial" w:cs="Arial" w:eastAsia="Arial" w:hAnsi="Arial"/>
                <w:b/>
                <w:bCs/>
                <w:sz w:val="20"/>
                <w:szCs w:val="20"/>
              </w:rPr>
              <w:t xml:space="preserve">About DCG</w:t>
            </w:r>
          </w:p>
        </w:tc>
        <w:tc>
          <w:tcPr>
            <w:tcW w:type="dxa" w:w="7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501(c)(3) status, relationship to Dopple for-profit, governance, tax info</w:t>
            </w:r>
          </w:p>
        </w:tc>
      </w:tr>
      <w:tr>
        <w:tc>
          <w:tcPr>
            <w:tcW w:type="dxa" w:w="2000"/>
            <w:tcBorders>
              <w:top w:val="single" w:color="CCCCCC" w:sz="1"/>
              <w:left w:val="single" w:color="CCCCCC" w:sz="1"/>
              <w:bottom w:val="single" w:color="CCCCCC" w:sz="1"/>
              <w:right w:val="single" w:color="CCCCCC" w:sz="1"/>
            </w:tcBorders>
            <w:shd w:fill="E8F0EC" w:val="clear"/>
            <w:tcMar>
              <w:top w:type="dxa" w:w="80"/>
              <w:left w:type="dxa" w:w="120"/>
              <w:bottom w:type="dxa" w:w="80"/>
              <w:right w:type="dxa" w:w="120"/>
            </w:tcMar>
          </w:tcPr>
          <w:p>
            <w:r>
              <w:rPr>
                <w:rFonts w:ascii="Arial" w:cs="Arial" w:eastAsia="Arial" w:hAnsi="Arial"/>
                <w:b/>
                <w:bCs/>
                <w:sz w:val="20"/>
                <w:szCs w:val="20"/>
              </w:rPr>
              <w:t xml:space="preserve">Contact</w:t>
            </w:r>
          </w:p>
        </w:tc>
        <w:tc>
          <w:tcPr>
            <w:tcW w:type="dxa" w:w="7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Primary contact for DAF/foundation inquiries</w:t>
            </w:r>
          </w:p>
        </w:tc>
      </w:tr>
    </w:tbl>
    <w:p>
      <w:pPr>
        <w:spacing w:after="80" w:before="80"/>
      </w:pPr>
      <w:r>
        <w:rPr>
          <w:rFonts w:ascii="Arial" w:cs="Arial" w:eastAsia="Arial" w:hAnsi="Arial"/>
          <w:sz w:val="22"/>
          <w:szCs w:val="22"/>
        </w:rPr>
        <w:t xml:space="preserve"/>
      </w:r>
    </w:p>
    <w:p>
      <w:pPr>
        <w:pStyle w:val="Heading2"/>
        <w:spacing w:after="100" w:before="280"/>
      </w:pPr>
      <w:r>
        <w:rPr>
          <w:rFonts w:ascii="Arial" w:cs="Arial" w:eastAsia="Arial" w:hAnsi="Arial"/>
          <w:b/>
          <w:bCs/>
          <w:color w:val="1E3D2F"/>
          <w:sz w:val="28"/>
          <w:szCs w:val="28"/>
        </w:rPr>
        <w:t xml:space="preserve">5.2 Authenticated Pages (Unified Portal)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7360"/>
      </w:tblGrid>
      <w:tr>
        <w:tc>
          <w:tcPr>
            <w:tcW w:type="dxa" w:w="2000"/>
            <w:tcBorders>
              <w:top w:val="single" w:color="CCCCCC" w:sz="1"/>
              <w:left w:val="single" w:color="CCCCCC" w:sz="1"/>
              <w:bottom w:val="single" w:color="CCCCCC" w:sz="1"/>
              <w:right w:val="single" w:color="CCCCCC" w:sz="1"/>
            </w:tcBorders>
            <w:shd w:fill="E8F0EC" w:val="clear"/>
            <w:tcMar>
              <w:top w:type="dxa" w:w="80"/>
              <w:left w:type="dxa" w:w="120"/>
              <w:bottom w:type="dxa" w:w="80"/>
              <w:right w:type="dxa" w:w="120"/>
            </w:tcMar>
          </w:tcPr>
          <w:p>
            <w:r>
              <w:rPr>
                <w:rFonts w:ascii="Arial" w:cs="Arial" w:eastAsia="Arial" w:hAnsi="Arial"/>
                <w:b/>
                <w:bCs/>
                <w:sz w:val="20"/>
                <w:szCs w:val="20"/>
              </w:rPr>
              <w:t xml:space="preserve">Dashboard</w:t>
            </w:r>
          </w:p>
        </w:tc>
        <w:tc>
          <w:tcPr>
            <w:tcW w:type="dxa" w:w="7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Real-time summary: total deployed, families reached, spend by category and geography. Scoped to funder’s pool.</w:t>
            </w:r>
          </w:p>
        </w:tc>
      </w:tr>
      <w:tr>
        <w:tc>
          <w:tcPr>
            <w:tcW w:type="dxa" w:w="2000"/>
            <w:tcBorders>
              <w:top w:val="single" w:color="CCCCCC" w:sz="1"/>
              <w:left w:val="single" w:color="CCCCCC" w:sz="1"/>
              <w:bottom w:val="single" w:color="CCCCCC" w:sz="1"/>
              <w:right w:val="single" w:color="CCCCCC" w:sz="1"/>
            </w:tcBorders>
            <w:shd w:fill="E8F0EC" w:val="clear"/>
            <w:tcMar>
              <w:top w:type="dxa" w:w="80"/>
              <w:left w:type="dxa" w:w="120"/>
              <w:bottom w:type="dxa" w:w="80"/>
              <w:right w:type="dxa" w:w="120"/>
            </w:tcMar>
          </w:tcPr>
          <w:p>
            <w:r>
              <w:rPr>
                <w:rFonts w:ascii="Arial" w:cs="Arial" w:eastAsia="Arial" w:hAnsi="Arial"/>
                <w:b/>
                <w:bCs/>
                <w:sz w:val="20"/>
                <w:szCs w:val="20"/>
              </w:rPr>
              <w:t xml:space="preserve">My Giving / My Grant</w:t>
            </w:r>
          </w:p>
        </w:tc>
        <w:tc>
          <w:tcPr>
            <w:tcW w:type="dxa" w:w="7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Donation or grant history, active parameters, scheduled giving, renewal prompts</w:t>
            </w:r>
          </w:p>
        </w:tc>
      </w:tr>
      <w:tr>
        <w:tc>
          <w:tcPr>
            <w:tcW w:type="dxa" w:w="2000"/>
            <w:tcBorders>
              <w:top w:val="single" w:color="CCCCCC" w:sz="1"/>
              <w:left w:val="single" w:color="CCCCCC" w:sz="1"/>
              <w:bottom w:val="single" w:color="CCCCCC" w:sz="1"/>
              <w:right w:val="single" w:color="CCCCCC" w:sz="1"/>
            </w:tcBorders>
            <w:shd w:fill="E8F0EC" w:val="clear"/>
            <w:tcMar>
              <w:top w:type="dxa" w:w="80"/>
              <w:left w:type="dxa" w:w="120"/>
              <w:bottom w:type="dxa" w:w="80"/>
              <w:right w:type="dxa" w:w="120"/>
            </w:tcMar>
          </w:tcPr>
          <w:p>
            <w:r>
              <w:rPr>
                <w:rFonts w:ascii="Arial" w:cs="Arial" w:eastAsia="Arial" w:hAnsi="Arial"/>
                <w:b/>
                <w:bCs/>
                <w:sz w:val="20"/>
                <w:szCs w:val="20"/>
              </w:rPr>
              <w:t xml:space="preserve">Allocation Settings</w:t>
            </w:r>
          </w:p>
        </w:tc>
        <w:tc>
          <w:tcPr>
            <w:tcW w:type="dxa" w:w="7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Define/edit giving parameters (geo, sector, income, demographic). DCG donors only — grant partners have parameters set by grant terms.</w:t>
            </w:r>
          </w:p>
        </w:tc>
      </w:tr>
      <w:tr>
        <w:tc>
          <w:tcPr>
            <w:tcW w:type="dxa" w:w="2000"/>
            <w:tcBorders>
              <w:top w:val="single" w:color="CCCCCC" w:sz="1"/>
              <w:left w:val="single" w:color="CCCCCC" w:sz="1"/>
              <w:bottom w:val="single" w:color="CCCCCC" w:sz="1"/>
              <w:right w:val="single" w:color="CCCCCC" w:sz="1"/>
            </w:tcBorders>
            <w:shd w:fill="E8F0EC" w:val="clear"/>
            <w:tcMar>
              <w:top w:type="dxa" w:w="80"/>
              <w:left w:type="dxa" w:w="120"/>
              <w:bottom w:type="dxa" w:w="80"/>
              <w:right w:type="dxa" w:w="120"/>
            </w:tcMar>
          </w:tcPr>
          <w:p>
            <w:r>
              <w:rPr>
                <w:rFonts w:ascii="Arial" w:cs="Arial" w:eastAsia="Arial" w:hAnsi="Arial"/>
                <w:b/>
                <w:bCs/>
                <w:sz w:val="20"/>
                <w:szCs w:val="20"/>
              </w:rPr>
              <w:t xml:space="preserve">Impact Reports</w:t>
            </w:r>
          </w:p>
        </w:tc>
        <w:tc>
          <w:tcPr>
            <w:tcW w:type="dxa" w:w="7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Detailed reporting by transaction, family cohort, sector, and time period. Exportable PDF and CSV.</w:t>
            </w:r>
          </w:p>
        </w:tc>
      </w:tr>
      <w:tr>
        <w:tc>
          <w:tcPr>
            <w:tcW w:type="dxa" w:w="2000"/>
            <w:tcBorders>
              <w:top w:val="single" w:color="CCCCCC" w:sz="1"/>
              <w:left w:val="single" w:color="CCCCCC" w:sz="1"/>
              <w:bottom w:val="single" w:color="CCCCCC" w:sz="1"/>
              <w:right w:val="single" w:color="CCCCCC" w:sz="1"/>
            </w:tcBorders>
            <w:shd w:fill="E8F0EC" w:val="clear"/>
            <w:tcMar>
              <w:top w:type="dxa" w:w="80"/>
              <w:left w:type="dxa" w:w="120"/>
              <w:bottom w:type="dxa" w:w="80"/>
              <w:right w:type="dxa" w:w="120"/>
            </w:tcMar>
          </w:tcPr>
          <w:p>
            <w:r>
              <w:rPr>
                <w:rFonts w:ascii="Arial" w:cs="Arial" w:eastAsia="Arial" w:hAnsi="Arial"/>
                <w:b/>
                <w:bCs/>
                <w:sz w:val="20"/>
                <w:szCs w:val="20"/>
              </w:rPr>
              <w:t xml:space="preserve">Statements</w:t>
            </w:r>
          </w:p>
        </w:tc>
        <w:tc>
          <w:tcPr>
            <w:tcW w:type="dxa" w:w="7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Tax documentation, grant confirmation letters, IRS compliance records</w:t>
            </w:r>
          </w:p>
        </w:tc>
      </w:tr>
      <w:tr>
        <w:tc>
          <w:tcPr>
            <w:tcW w:type="dxa" w:w="2000"/>
            <w:tcBorders>
              <w:top w:val="single" w:color="CCCCCC" w:sz="1"/>
              <w:left w:val="single" w:color="CCCCCC" w:sz="1"/>
              <w:bottom w:val="single" w:color="CCCCCC" w:sz="1"/>
              <w:right w:val="single" w:color="CCCCCC" w:sz="1"/>
            </w:tcBorders>
            <w:shd w:fill="E8F0EC" w:val="clear"/>
            <w:tcMar>
              <w:top w:type="dxa" w:w="80"/>
              <w:left w:type="dxa" w:w="120"/>
              <w:bottom w:type="dxa" w:w="80"/>
              <w:right w:type="dxa" w:w="120"/>
            </w:tcMar>
          </w:tcPr>
          <w:p>
            <w:r>
              <w:rPr>
                <w:rFonts w:ascii="Arial" w:cs="Arial" w:eastAsia="Arial" w:hAnsi="Arial"/>
                <w:b/>
                <w:bCs/>
                <w:sz w:val="20"/>
                <w:szCs w:val="20"/>
              </w:rPr>
              <w:t xml:space="preserve">Account Settings</w:t>
            </w:r>
          </w:p>
        </w:tc>
        <w:tc>
          <w:tcPr>
            <w:tcW w:type="dxa" w:w="7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Contact info, payment method, notification preferences</w:t>
            </w:r>
          </w:p>
        </w:tc>
      </w:tr>
    </w:tbl>
    <w:p>
      <w:pPr>
        <w:pBdr>
          <w:bottom w:val="single" w:color="CCCCCC" w:sz="4" w:space="1"/>
        </w:pBdr>
        <w:spacing w:after="160" w:before="160"/>
      </w:pPr>
    </w:p>
    <w:p>
      <w:pPr>
        <w:pStyle w:val="Heading1"/>
        <w:spacing w:after="120" w:before="360"/>
      </w:pPr>
      <w:r>
        <w:rPr>
          <w:rFonts w:ascii="Arial" w:cs="Arial" w:eastAsia="Arial" w:hAnsi="Arial"/>
          <w:b/>
          <w:bCs/>
          <w:color w:val="1E3D2F"/>
          <w:sz w:val="36"/>
          <w:szCs w:val="36"/>
        </w:rPr>
        <w:t xml:space="preserve">6. Checkout Giving Flow (Round-Up + Tip)</w:t>
      </w:r>
    </w:p>
    <w:p>
      <w:pPr>
        <w:spacing w:after="80" w:before="80"/>
      </w:pPr>
      <w:r>
        <w:rPr>
          <w:rFonts w:ascii="Arial" w:cs="Arial" w:eastAsia="Arial" w:hAnsi="Arial"/>
          <w:sz w:val="22"/>
          <w:szCs w:val="22"/>
        </w:rPr>
        <w:t xml:space="preserve">Round-up and tip appear as the final step of the Dopple checkout flow, after cart confirmation and before payment processing. This step must not add meaningful friction to the transaction.</w:t>
      </w:r>
    </w:p>
    <w:p>
      <w:pPr>
        <w:spacing w:after="80" w:before="80"/>
      </w:pPr>
      <w:r>
        <w:rPr>
          <w:rFonts w:ascii="Arial" w:cs="Arial" w:eastAsia="Arial" w:hAnsi="Arial"/>
          <w:sz w:val="22"/>
          <w:szCs w:val="22"/>
        </w:rPr>
        <w:t xml:space="preserve"/>
      </w:r>
    </w:p>
    <w:p>
      <w:pPr>
        <w:pStyle w:val="Heading2"/>
        <w:spacing w:after="100" w:before="280"/>
      </w:pPr>
      <w:r>
        <w:rPr>
          <w:rFonts w:ascii="Arial" w:cs="Arial" w:eastAsia="Arial" w:hAnsi="Arial"/>
          <w:b/>
          <w:bCs/>
          <w:color w:val="1E3D2F"/>
          <w:sz w:val="28"/>
          <w:szCs w:val="28"/>
        </w:rPr>
        <w:t xml:space="preserve">6.1 Round-Up</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7360"/>
      </w:tblGrid>
      <w:tr>
        <w:tc>
          <w:tcPr>
            <w:tcW w:type="dxa" w:w="2000"/>
            <w:tcBorders>
              <w:top w:val="single" w:color="CCCCCC" w:sz="1"/>
              <w:left w:val="single" w:color="CCCCCC" w:sz="1"/>
              <w:bottom w:val="single" w:color="CCCCCC" w:sz="1"/>
              <w:right w:val="single" w:color="CCCCCC" w:sz="1"/>
            </w:tcBorders>
            <w:shd w:fill="E8F0EC" w:val="clear"/>
            <w:tcMar>
              <w:top w:type="dxa" w:w="80"/>
              <w:left w:type="dxa" w:w="120"/>
              <w:bottom w:type="dxa" w:w="80"/>
              <w:right w:type="dxa" w:w="120"/>
            </w:tcMar>
          </w:tcPr>
          <w:p>
            <w:r>
              <w:rPr>
                <w:rFonts w:ascii="Arial" w:cs="Arial" w:eastAsia="Arial" w:hAnsi="Arial"/>
                <w:b/>
                <w:bCs/>
                <w:sz w:val="20"/>
                <w:szCs w:val="20"/>
              </w:rPr>
              <w:t xml:space="preserve">Default state</w:t>
            </w:r>
          </w:p>
        </w:tc>
        <w:tc>
          <w:tcPr>
            <w:tcW w:type="dxa" w:w="7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On. Every transaction, no exceptions.</w:t>
            </w:r>
          </w:p>
        </w:tc>
      </w:tr>
      <w:tr>
        <w:tc>
          <w:tcPr>
            <w:tcW w:type="dxa" w:w="2000"/>
            <w:tcBorders>
              <w:top w:val="single" w:color="CCCCCC" w:sz="1"/>
              <w:left w:val="single" w:color="CCCCCC" w:sz="1"/>
              <w:bottom w:val="single" w:color="CCCCCC" w:sz="1"/>
              <w:right w:val="single" w:color="CCCCCC" w:sz="1"/>
            </w:tcBorders>
            <w:shd w:fill="E8F0EC" w:val="clear"/>
            <w:tcMar>
              <w:top w:type="dxa" w:w="80"/>
              <w:left w:type="dxa" w:w="120"/>
              <w:bottom w:type="dxa" w:w="80"/>
              <w:right w:type="dxa" w:w="120"/>
            </w:tcMar>
          </w:tcPr>
          <w:p>
            <w:r>
              <w:rPr>
                <w:rFonts w:ascii="Arial" w:cs="Arial" w:eastAsia="Arial" w:hAnsi="Arial"/>
                <w:b/>
                <w:bCs/>
                <w:sz w:val="20"/>
                <w:szCs w:val="20"/>
              </w:rPr>
              <w:t xml:space="preserve">Display</w:t>
            </w:r>
          </w:p>
        </w:tc>
        <w:tc>
          <w:tcPr>
            <w:tcW w:type="dxa" w:w="7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Shows rounded-up amount clearly: “Round up to $X.XX for Dopple Community Gifting (+$0.XX)”</w:t>
            </w:r>
          </w:p>
        </w:tc>
      </w:tr>
      <w:tr>
        <w:tc>
          <w:tcPr>
            <w:tcW w:type="dxa" w:w="2000"/>
            <w:tcBorders>
              <w:top w:val="single" w:color="CCCCCC" w:sz="1"/>
              <w:left w:val="single" w:color="CCCCCC" w:sz="1"/>
              <w:bottom w:val="single" w:color="CCCCCC" w:sz="1"/>
              <w:right w:val="single" w:color="CCCCCC" w:sz="1"/>
            </w:tcBorders>
            <w:shd w:fill="E8F0EC" w:val="clear"/>
            <w:tcMar>
              <w:top w:type="dxa" w:w="80"/>
              <w:left w:type="dxa" w:w="120"/>
              <w:bottom w:type="dxa" w:w="80"/>
              <w:right w:type="dxa" w:w="120"/>
            </w:tcMar>
          </w:tcPr>
          <w:p>
            <w:r>
              <w:rPr>
                <w:rFonts w:ascii="Arial" w:cs="Arial" w:eastAsia="Arial" w:hAnsi="Arial"/>
                <w:b/>
                <w:bCs/>
                <w:sz w:val="20"/>
                <w:szCs w:val="20"/>
              </w:rPr>
              <w:t xml:space="preserve">Toggle</w:t>
            </w:r>
          </w:p>
        </w:tc>
        <w:tc>
          <w:tcPr>
            <w:tcW w:type="dxa" w:w="7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Small toggle to opt out. Visible but not prominent. No guilt language if toggled off.</w:t>
            </w:r>
          </w:p>
        </w:tc>
      </w:tr>
      <w:tr>
        <w:tc>
          <w:tcPr>
            <w:tcW w:type="dxa" w:w="2000"/>
            <w:tcBorders>
              <w:top w:val="single" w:color="CCCCCC" w:sz="1"/>
              <w:left w:val="single" w:color="CCCCCC" w:sz="1"/>
              <w:bottom w:val="single" w:color="CCCCCC" w:sz="1"/>
              <w:right w:val="single" w:color="CCCCCC" w:sz="1"/>
            </w:tcBorders>
            <w:shd w:fill="E8F0EC" w:val="clear"/>
            <w:tcMar>
              <w:top w:type="dxa" w:w="80"/>
              <w:left w:type="dxa" w:w="120"/>
              <w:bottom w:type="dxa" w:w="80"/>
              <w:right w:type="dxa" w:w="120"/>
            </w:tcMar>
          </w:tcPr>
          <w:p>
            <w:r>
              <w:rPr>
                <w:rFonts w:ascii="Arial" w:cs="Arial" w:eastAsia="Arial" w:hAnsi="Arial"/>
                <w:b/>
                <w:bCs/>
                <w:sz w:val="20"/>
                <w:szCs w:val="20"/>
              </w:rPr>
              <w:t xml:space="preserve">Persistence</w:t>
            </w:r>
          </w:p>
        </w:tc>
        <w:tc>
          <w:tcPr>
            <w:tcW w:type="dxa" w:w="7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Opt-out is per-transaction. Round-up re-enables at next checkout. Standing opt-out available in account settings (V1.1).</w:t>
            </w:r>
          </w:p>
        </w:tc>
      </w:tr>
      <w:tr>
        <w:tc>
          <w:tcPr>
            <w:tcW w:type="dxa" w:w="2000"/>
            <w:tcBorders>
              <w:top w:val="single" w:color="CCCCCC" w:sz="1"/>
              <w:left w:val="single" w:color="CCCCCC" w:sz="1"/>
              <w:bottom w:val="single" w:color="CCCCCC" w:sz="1"/>
              <w:right w:val="single" w:color="CCCCCC" w:sz="1"/>
            </w:tcBorders>
            <w:shd w:fill="E8F0EC" w:val="clear"/>
            <w:tcMar>
              <w:top w:type="dxa" w:w="80"/>
              <w:left w:type="dxa" w:w="120"/>
              <w:bottom w:type="dxa" w:w="80"/>
              <w:right w:type="dxa" w:w="120"/>
            </w:tcMar>
          </w:tcPr>
          <w:p>
            <w:r>
              <w:rPr>
                <w:rFonts w:ascii="Arial" w:cs="Arial" w:eastAsia="Arial" w:hAnsi="Arial"/>
                <w:b/>
                <w:bCs/>
                <w:sz w:val="20"/>
                <w:szCs w:val="20"/>
              </w:rPr>
              <w:t xml:space="preserve">Destination</w:t>
            </w:r>
          </w:p>
        </w:tc>
        <w:tc>
          <w:tcPr>
            <w:tcW w:type="dxa" w:w="7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DCG general fund</w:t>
            </w:r>
          </w:p>
        </w:tc>
      </w:tr>
      <w:tr>
        <w:tc>
          <w:tcPr>
            <w:tcW w:type="dxa" w:w="2000"/>
            <w:tcBorders>
              <w:top w:val="single" w:color="CCCCCC" w:sz="1"/>
              <w:left w:val="single" w:color="CCCCCC" w:sz="1"/>
              <w:bottom w:val="single" w:color="CCCCCC" w:sz="1"/>
              <w:right w:val="single" w:color="CCCCCC" w:sz="1"/>
            </w:tcBorders>
            <w:shd w:fill="E8F0EC" w:val="clear"/>
            <w:tcMar>
              <w:top w:type="dxa" w:w="80"/>
              <w:left w:type="dxa" w:w="120"/>
              <w:bottom w:type="dxa" w:w="80"/>
              <w:right w:type="dxa" w:w="120"/>
            </w:tcMar>
          </w:tcPr>
          <w:p>
            <w:r>
              <w:rPr>
                <w:rFonts w:ascii="Arial" w:cs="Arial" w:eastAsia="Arial" w:hAnsi="Arial"/>
                <w:b/>
                <w:bCs/>
                <w:sz w:val="20"/>
                <w:szCs w:val="20"/>
              </w:rPr>
              <w:t xml:space="preserve">Receipt</w:t>
            </w:r>
          </w:p>
        </w:tc>
        <w:tc>
          <w:tcPr>
            <w:tcW w:type="dxa" w:w="7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IRS-compliant tax receipt emailed immediately upon transaction completion</w:t>
            </w:r>
          </w:p>
        </w:tc>
      </w:tr>
    </w:tbl>
    <w:p>
      <w:pPr>
        <w:spacing w:after="80" w:before="80"/>
      </w:pPr>
      <w:r>
        <w:rPr>
          <w:rFonts w:ascii="Arial" w:cs="Arial" w:eastAsia="Arial" w:hAnsi="Arial"/>
          <w:sz w:val="22"/>
          <w:szCs w:val="22"/>
        </w:rPr>
        <w:t xml:space="preserve"/>
      </w:r>
    </w:p>
    <w:p>
      <w:pPr>
        <w:pStyle w:val="Heading2"/>
        <w:spacing w:after="100" w:before="280"/>
      </w:pPr>
      <w:r>
        <w:rPr>
          <w:rFonts w:ascii="Arial" w:cs="Arial" w:eastAsia="Arial" w:hAnsi="Arial"/>
          <w:b/>
          <w:bCs/>
          <w:color w:val="1E3D2F"/>
          <w:sz w:val="28"/>
          <w:szCs w:val="28"/>
        </w:rPr>
        <w:t xml:space="preserve">6.2 Tip</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7360"/>
      </w:tblGrid>
      <w:tr>
        <w:tc>
          <w:tcPr>
            <w:tcW w:type="dxa" w:w="2000"/>
            <w:tcBorders>
              <w:top w:val="single" w:color="CCCCCC" w:sz="1"/>
              <w:left w:val="single" w:color="CCCCCC" w:sz="1"/>
              <w:bottom w:val="single" w:color="CCCCCC" w:sz="1"/>
              <w:right w:val="single" w:color="CCCCCC" w:sz="1"/>
            </w:tcBorders>
            <w:shd w:fill="E8F0EC" w:val="clear"/>
            <w:tcMar>
              <w:top w:type="dxa" w:w="80"/>
              <w:left w:type="dxa" w:w="120"/>
              <w:bottom w:type="dxa" w:w="80"/>
              <w:right w:type="dxa" w:w="120"/>
            </w:tcMar>
          </w:tcPr>
          <w:p>
            <w:r>
              <w:rPr>
                <w:rFonts w:ascii="Arial" w:cs="Arial" w:eastAsia="Arial" w:hAnsi="Arial"/>
                <w:b/>
                <w:bCs/>
                <w:sz w:val="20"/>
                <w:szCs w:val="20"/>
              </w:rPr>
              <w:t xml:space="preserve">Default state</w:t>
            </w:r>
          </w:p>
        </w:tc>
        <w:tc>
          <w:tcPr>
            <w:tcW w:type="dxa" w:w="7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$3 pre-selected</w:t>
            </w:r>
          </w:p>
        </w:tc>
      </w:tr>
      <w:tr>
        <w:tc>
          <w:tcPr>
            <w:tcW w:type="dxa" w:w="2000"/>
            <w:tcBorders>
              <w:top w:val="single" w:color="CCCCCC" w:sz="1"/>
              <w:left w:val="single" w:color="CCCCCC" w:sz="1"/>
              <w:bottom w:val="single" w:color="CCCCCC" w:sz="1"/>
              <w:right w:val="single" w:color="CCCCCC" w:sz="1"/>
            </w:tcBorders>
            <w:shd w:fill="E8F0EC" w:val="clear"/>
            <w:tcMar>
              <w:top w:type="dxa" w:w="80"/>
              <w:left w:type="dxa" w:w="120"/>
              <w:bottom w:type="dxa" w:w="80"/>
              <w:right w:type="dxa" w:w="120"/>
            </w:tcMar>
          </w:tcPr>
          <w:p>
            <w:r>
              <w:rPr>
                <w:rFonts w:ascii="Arial" w:cs="Arial" w:eastAsia="Arial" w:hAnsi="Arial"/>
                <w:b/>
                <w:bCs/>
                <w:sz w:val="20"/>
                <w:szCs w:val="20"/>
              </w:rPr>
              <w:t xml:space="preserve">Display options</w:t>
            </w:r>
          </w:p>
        </w:tc>
        <w:tc>
          <w:tcPr>
            <w:tcW w:type="dxa" w:w="7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Pill buttons: $3 · $5 · $10 · Other (open input field)</w:t>
            </w:r>
          </w:p>
        </w:tc>
      </w:tr>
      <w:tr>
        <w:tc>
          <w:tcPr>
            <w:tcW w:type="dxa" w:w="2000"/>
            <w:tcBorders>
              <w:top w:val="single" w:color="CCCCCC" w:sz="1"/>
              <w:left w:val="single" w:color="CCCCCC" w:sz="1"/>
              <w:bottom w:val="single" w:color="CCCCCC" w:sz="1"/>
              <w:right w:val="single" w:color="CCCCCC" w:sz="1"/>
            </w:tcBorders>
            <w:shd w:fill="E8F0EC" w:val="clear"/>
            <w:tcMar>
              <w:top w:type="dxa" w:w="80"/>
              <w:left w:type="dxa" w:w="120"/>
              <w:bottom w:type="dxa" w:w="80"/>
              <w:right w:type="dxa" w:w="120"/>
            </w:tcMar>
          </w:tcPr>
          <w:p>
            <w:r>
              <w:rPr>
                <w:rFonts w:ascii="Arial" w:cs="Arial" w:eastAsia="Arial" w:hAnsi="Arial"/>
                <w:b/>
                <w:bCs/>
                <w:sz w:val="20"/>
                <w:szCs w:val="20"/>
              </w:rPr>
              <w:t xml:space="preserve">$0 option</w:t>
            </w:r>
          </w:p>
        </w:tc>
        <w:tc>
          <w:tcPr>
            <w:tcW w:type="dxa" w:w="7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Accessible via “Other” field or small “No thanks” text link. No friction, no guilt.</w:t>
            </w:r>
          </w:p>
        </w:tc>
      </w:tr>
      <w:tr>
        <w:tc>
          <w:tcPr>
            <w:tcW w:type="dxa" w:w="2000"/>
            <w:tcBorders>
              <w:top w:val="single" w:color="CCCCCC" w:sz="1"/>
              <w:left w:val="single" w:color="CCCCCC" w:sz="1"/>
              <w:bottom w:val="single" w:color="CCCCCC" w:sz="1"/>
              <w:right w:val="single" w:color="CCCCCC" w:sz="1"/>
            </w:tcBorders>
            <w:shd w:fill="E8F0EC" w:val="clear"/>
            <w:tcMar>
              <w:top w:type="dxa" w:w="80"/>
              <w:left w:type="dxa" w:w="120"/>
              <w:bottom w:type="dxa" w:w="80"/>
              <w:right w:type="dxa" w:w="120"/>
            </w:tcMar>
          </w:tcPr>
          <w:p>
            <w:r>
              <w:rPr>
                <w:rFonts w:ascii="Arial" w:cs="Arial" w:eastAsia="Arial" w:hAnsi="Arial"/>
                <w:b/>
                <w:bCs/>
                <w:sz w:val="20"/>
                <w:szCs w:val="20"/>
              </w:rPr>
              <w:t xml:space="preserve">Copy</w:t>
            </w:r>
          </w:p>
        </w:tc>
        <w:tc>
          <w:tcPr>
            <w:tcW w:type="dxa" w:w="7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“Tips support Dopple Community Gifting, our 501(c)(3) that funds matching dollars for families like yours.”</w:t>
            </w:r>
          </w:p>
        </w:tc>
      </w:tr>
      <w:tr>
        <w:tc>
          <w:tcPr>
            <w:tcW w:type="dxa" w:w="2000"/>
            <w:tcBorders>
              <w:top w:val="single" w:color="CCCCCC" w:sz="1"/>
              <w:left w:val="single" w:color="CCCCCC" w:sz="1"/>
              <w:bottom w:val="single" w:color="CCCCCC" w:sz="1"/>
              <w:right w:val="single" w:color="CCCCCC" w:sz="1"/>
            </w:tcBorders>
            <w:shd w:fill="E8F0EC" w:val="clear"/>
            <w:tcMar>
              <w:top w:type="dxa" w:w="80"/>
              <w:left w:type="dxa" w:w="120"/>
              <w:bottom w:type="dxa" w:w="80"/>
              <w:right w:type="dxa" w:w="120"/>
            </w:tcMar>
          </w:tcPr>
          <w:p>
            <w:r>
              <w:rPr>
                <w:rFonts w:ascii="Arial" w:cs="Arial" w:eastAsia="Arial" w:hAnsi="Arial"/>
                <w:b/>
                <w:bCs/>
                <w:sz w:val="20"/>
                <w:szCs w:val="20"/>
              </w:rPr>
              <w:t xml:space="preserve">Destination</w:t>
            </w:r>
          </w:p>
        </w:tc>
        <w:tc>
          <w:tcPr>
            <w:tcW w:type="dxa" w:w="7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DCG general fund</w:t>
            </w:r>
          </w:p>
        </w:tc>
      </w:tr>
      <w:tr>
        <w:tc>
          <w:tcPr>
            <w:tcW w:type="dxa" w:w="2000"/>
            <w:tcBorders>
              <w:top w:val="single" w:color="CCCCCC" w:sz="1"/>
              <w:left w:val="single" w:color="CCCCCC" w:sz="1"/>
              <w:bottom w:val="single" w:color="CCCCCC" w:sz="1"/>
              <w:right w:val="single" w:color="CCCCCC" w:sz="1"/>
            </w:tcBorders>
            <w:shd w:fill="E8F0EC" w:val="clear"/>
            <w:tcMar>
              <w:top w:type="dxa" w:w="80"/>
              <w:left w:type="dxa" w:w="120"/>
              <w:bottom w:type="dxa" w:w="80"/>
              <w:right w:type="dxa" w:w="120"/>
            </w:tcMar>
          </w:tcPr>
          <w:p>
            <w:r>
              <w:rPr>
                <w:rFonts w:ascii="Arial" w:cs="Arial" w:eastAsia="Arial" w:hAnsi="Arial"/>
                <w:b/>
                <w:bCs/>
                <w:sz w:val="20"/>
                <w:szCs w:val="20"/>
              </w:rPr>
              <w:t xml:space="preserve">Receipt</w:t>
            </w:r>
          </w:p>
        </w:tc>
        <w:tc>
          <w:tcPr>
            <w:tcW w:type="dxa" w:w="7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IRS-compliant tax receipt emailed immediately. Combined with round-up in one receipt if both present.</w:t>
            </w:r>
          </w:p>
        </w:tc>
      </w:tr>
    </w:tbl>
    <w:p>
      <w:pPr>
        <w:spacing w:after="80" w:before="80"/>
      </w:pPr>
      <w:r>
        <w:rPr>
          <w:rFonts w:ascii="Arial" w:cs="Arial" w:eastAsia="Arial" w:hAnsi="Arial"/>
          <w:sz w:val="22"/>
          <w:szCs w:val="22"/>
        </w:rPr>
        <w:t xml:space="preserve"/>
      </w:r>
    </w:p>
    <w:p>
      <w:pPr>
        <w:pStyle w:val="Heading2"/>
        <w:spacing w:after="100" w:before="280"/>
      </w:pPr>
      <w:r>
        <w:rPr>
          <w:rFonts w:ascii="Arial" w:cs="Arial" w:eastAsia="Arial" w:hAnsi="Arial"/>
          <w:b/>
          <w:bCs/>
          <w:color w:val="1E3D2F"/>
          <w:sz w:val="28"/>
          <w:szCs w:val="28"/>
        </w:rPr>
        <w:t xml:space="preserve">6.3 Combined Display</w:t>
      </w:r>
    </w:p>
    <w:p>
      <w:pPr>
        <w:spacing w:after="80" w:before="80"/>
      </w:pPr>
      <w:r>
        <w:rPr>
          <w:rFonts w:ascii="Arial" w:cs="Arial" w:eastAsia="Arial" w:hAnsi="Arial"/>
          <w:sz w:val="22"/>
          <w:szCs w:val="22"/>
        </w:rPr>
        <w:t xml:space="preserve">Round-up and tip appear in one checkout step, not two separate screens. Combined DCG contribution shown as a single line in order summary, clearly distinct from the purchase total.</w:t>
      </w:r>
    </w:p>
    <w:p>
      <w:pPr>
        <w:spacing w:after="80" w:before="80"/>
      </w:pPr>
      <w:r>
        <w:rPr>
          <w:rFonts w:ascii="Arial" w:cs="Arial" w:eastAsia="Arial" w:hAnsi="Arial"/>
          <w:sz w:val="22"/>
          <w:szCs w:val="22"/>
        </w:rPr>
        <w:t xml:space="preserve"/>
      </w:r>
    </w:p>
    <w:p>
      <w:pPr>
        <w:pStyle w:val="Heading2"/>
        <w:spacing w:after="100" w:before="280"/>
      </w:pPr>
      <w:r>
        <w:rPr>
          <w:rFonts w:ascii="Arial" w:cs="Arial" w:eastAsia="Arial" w:hAnsi="Arial"/>
          <w:b/>
          <w:bCs/>
          <w:color w:val="1E3D2F"/>
          <w:sz w:val="28"/>
          <w:szCs w:val="28"/>
        </w:rPr>
        <w:t xml:space="preserve">6.4 Tax Receipt (Round-Up and Tip)</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7360"/>
      </w:tblGrid>
      <w:tr>
        <w:tc>
          <w:tcPr>
            <w:tcW w:type="dxa" w:w="2000"/>
            <w:tcBorders>
              <w:top w:val="single" w:color="CCCCCC" w:sz="1"/>
              <w:left w:val="single" w:color="CCCCCC" w:sz="1"/>
              <w:bottom w:val="single" w:color="CCCCCC" w:sz="1"/>
              <w:right w:val="single" w:color="CCCCCC" w:sz="1"/>
            </w:tcBorders>
            <w:shd w:fill="E8F0EC" w:val="clear"/>
            <w:tcMar>
              <w:top w:type="dxa" w:w="80"/>
              <w:left w:type="dxa" w:w="120"/>
              <w:bottom w:type="dxa" w:w="80"/>
              <w:right w:type="dxa" w:w="120"/>
            </w:tcMar>
          </w:tcPr>
          <w:p>
            <w:r>
              <w:rPr>
                <w:rFonts w:ascii="Arial" w:cs="Arial" w:eastAsia="Arial" w:hAnsi="Arial"/>
                <w:b/>
                <w:bCs/>
                <w:sz w:val="20"/>
                <w:szCs w:val="20"/>
              </w:rPr>
              <w:t xml:space="preserve">Trigger</w:t>
            </w:r>
          </w:p>
        </w:tc>
        <w:tc>
          <w:tcPr>
            <w:tcW w:type="dxa" w:w="7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Immediate — sent at transaction completion, target under 30 seconds</w:t>
            </w:r>
          </w:p>
        </w:tc>
      </w:tr>
      <w:tr>
        <w:tc>
          <w:tcPr>
            <w:tcW w:type="dxa" w:w="2000"/>
            <w:tcBorders>
              <w:top w:val="single" w:color="CCCCCC" w:sz="1"/>
              <w:left w:val="single" w:color="CCCCCC" w:sz="1"/>
              <w:bottom w:val="single" w:color="CCCCCC" w:sz="1"/>
              <w:right w:val="single" w:color="CCCCCC" w:sz="1"/>
            </w:tcBorders>
            <w:shd w:fill="E8F0EC" w:val="clear"/>
            <w:tcMar>
              <w:top w:type="dxa" w:w="80"/>
              <w:left w:type="dxa" w:w="120"/>
              <w:bottom w:type="dxa" w:w="80"/>
              <w:right w:type="dxa" w:w="120"/>
            </w:tcMar>
          </w:tcPr>
          <w:p>
            <w:r>
              <w:rPr>
                <w:rFonts w:ascii="Arial" w:cs="Arial" w:eastAsia="Arial" w:hAnsi="Arial"/>
                <w:b/>
                <w:bCs/>
                <w:sz w:val="20"/>
                <w:szCs w:val="20"/>
              </w:rPr>
              <w:t xml:space="preserve">Delivery</w:t>
            </w:r>
          </w:p>
        </w:tc>
        <w:tc>
          <w:tcPr>
            <w:tcW w:type="dxa" w:w="7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Email to family’s Dopple account address</w:t>
            </w:r>
          </w:p>
        </w:tc>
      </w:tr>
      <w:tr>
        <w:tc>
          <w:tcPr>
            <w:tcW w:type="dxa" w:w="2000"/>
            <w:tcBorders>
              <w:top w:val="single" w:color="CCCCCC" w:sz="1"/>
              <w:left w:val="single" w:color="CCCCCC" w:sz="1"/>
              <w:bottom w:val="single" w:color="CCCCCC" w:sz="1"/>
              <w:right w:val="single" w:color="CCCCCC" w:sz="1"/>
            </w:tcBorders>
            <w:shd w:fill="E8F0EC" w:val="clear"/>
            <w:tcMar>
              <w:top w:type="dxa" w:w="80"/>
              <w:left w:type="dxa" w:w="120"/>
              <w:bottom w:type="dxa" w:w="80"/>
              <w:right w:type="dxa" w:w="120"/>
            </w:tcMar>
          </w:tcPr>
          <w:p>
            <w:r>
              <w:rPr>
                <w:rFonts w:ascii="Arial" w:cs="Arial" w:eastAsia="Arial" w:hAnsi="Arial"/>
                <w:b/>
                <w:bCs/>
                <w:sz w:val="20"/>
                <w:szCs w:val="20"/>
              </w:rPr>
              <w:t xml:space="preserve">Content</w:t>
            </w:r>
          </w:p>
        </w:tc>
        <w:tc>
          <w:tcPr>
            <w:tcW w:type="dxa" w:w="7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DCG legal name, EIN, donation amount, transaction date, IRS language: “No goods or services were provided in exchange for this contribution”</w:t>
            </w:r>
          </w:p>
        </w:tc>
      </w:tr>
      <w:tr>
        <w:tc>
          <w:tcPr>
            <w:tcW w:type="dxa" w:w="2000"/>
            <w:tcBorders>
              <w:top w:val="single" w:color="CCCCCC" w:sz="1"/>
              <w:left w:val="single" w:color="CCCCCC" w:sz="1"/>
              <w:bottom w:val="single" w:color="CCCCCC" w:sz="1"/>
              <w:right w:val="single" w:color="CCCCCC" w:sz="1"/>
            </w:tcBorders>
            <w:shd w:fill="E8F0EC" w:val="clear"/>
            <w:tcMar>
              <w:top w:type="dxa" w:w="80"/>
              <w:left w:type="dxa" w:w="120"/>
              <w:bottom w:type="dxa" w:w="80"/>
              <w:right w:type="dxa" w:w="120"/>
            </w:tcMar>
          </w:tcPr>
          <w:p>
            <w:r>
              <w:rPr>
                <w:rFonts w:ascii="Arial" w:cs="Arial" w:eastAsia="Arial" w:hAnsi="Arial"/>
                <w:b/>
                <w:bCs/>
                <w:sz w:val="20"/>
                <w:szCs w:val="20"/>
              </w:rPr>
              <w:t xml:space="preserve">Annual statement</w:t>
            </w:r>
          </w:p>
        </w:tc>
        <w:tc>
          <w:tcPr>
            <w:tcW w:type="dxa" w:w="7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All round-up and tip donations aggregated into single annual tax statement, sent January, available in account settings</w:t>
            </w:r>
          </w:p>
        </w:tc>
      </w:tr>
      <w:tr>
        <w:tc>
          <w:tcPr>
            <w:tcW w:type="dxa" w:w="2000"/>
            <w:tcBorders>
              <w:top w:val="single" w:color="CCCCCC" w:sz="1"/>
              <w:left w:val="single" w:color="CCCCCC" w:sz="1"/>
              <w:bottom w:val="single" w:color="CCCCCC" w:sz="1"/>
              <w:right w:val="single" w:color="CCCCCC" w:sz="1"/>
            </w:tcBorders>
            <w:shd w:fill="E8F0EC" w:val="clear"/>
            <w:tcMar>
              <w:top w:type="dxa" w:w="80"/>
              <w:left w:type="dxa" w:w="120"/>
              <w:bottom w:type="dxa" w:w="80"/>
              <w:right w:type="dxa" w:w="120"/>
            </w:tcMar>
          </w:tcPr>
          <w:p>
            <w:r>
              <w:rPr>
                <w:rFonts w:ascii="Arial" w:cs="Arial" w:eastAsia="Arial" w:hAnsi="Arial"/>
                <w:b/>
                <w:bCs/>
                <w:sz w:val="20"/>
                <w:szCs w:val="20"/>
              </w:rPr>
              <w:t xml:space="preserve">Acquisition CTA</w:t>
            </w:r>
          </w:p>
        </w:tc>
        <w:tc>
          <w:tcPr>
            <w:tcW w:type="dxa" w:w="7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Receipt email footer: “Want to see how your donation is being used? Create a donor account at dopplecharities.org”</w:t>
            </w:r>
          </w:p>
        </w:tc>
      </w:tr>
    </w:tbl>
    <w:p>
      <w:pPr>
        <w:pBdr>
          <w:bottom w:val="single" w:color="CCCCCC" w:sz="4" w:space="1"/>
        </w:pBdr>
        <w:spacing w:after="160" w:before="160"/>
      </w:pPr>
    </w:p>
    <w:p>
      <w:pPr>
        <w:pStyle w:val="Heading1"/>
        <w:spacing w:after="120" w:before="360"/>
      </w:pPr>
      <w:r>
        <w:rPr>
          <w:rFonts w:ascii="Arial" w:cs="Arial" w:eastAsia="Arial" w:hAnsi="Arial"/>
          <w:b/>
          <w:bCs/>
          <w:color w:val="1E3D2F"/>
          <w:sz w:val="36"/>
          <w:szCs w:val="36"/>
        </w:rPr>
        <w:t xml:space="preserve">7. Homepage Design Requirements</w:t>
      </w:r>
    </w:p>
    <w:p>
      <w:pPr>
        <w:spacing w:after="80" w:before="80"/>
      </w:pPr>
      <w:r>
        <w:rPr>
          <w:rFonts w:ascii="Arial" w:cs="Arial" w:eastAsia="Arial" w:hAnsi="Arial"/>
          <w:sz w:val="22"/>
          <w:szCs w:val="22"/>
        </w:rPr>
        <w:t xml:space="preserve">Three jobs: explain the matching dollar mechanic, establish fintech-grade credibility, convert visitors to donors or portal accounts.</w:t>
      </w:r>
    </w:p>
    <w:p>
      <w:pPr>
        <w:spacing w:after="80" w:before="80"/>
      </w:pPr>
      <w:r>
        <w:rPr>
          <w:rFonts w:ascii="Arial" w:cs="Arial" w:eastAsia="Arial" w:hAnsi="Arial"/>
          <w:sz w:val="22"/>
          <w:szCs w:val="22"/>
        </w:rPr>
        <w:t xml:space="preserve"/>
      </w:r>
    </w:p>
    <w:p>
      <w:pPr>
        <w:spacing w:after="80" w:before="200"/>
      </w:pPr>
      <w:r>
        <w:rPr>
          <w:rFonts w:ascii="Arial" w:cs="Arial" w:eastAsia="Arial" w:hAnsi="Arial"/>
          <w:b/>
          <w:bCs/>
          <w:color w:val="1E3D2F"/>
          <w:sz w:val="24"/>
          <w:szCs w:val="24"/>
        </w:rPr>
        <w:t xml:space="preserve">Hero</w:t>
      </w:r>
    </w:p>
    <w:p>
      <w:pPr>
        <w:pStyle w:val="ListParagraph"/>
        <w:numPr>
          <w:ilvl w:val="0"/>
          <w:numId w:val="2"/>
        </w:numPr>
        <w:spacing w:after="40" w:before="40"/>
      </w:pPr>
      <w:r>
        <w:rPr>
          <w:rFonts w:ascii="Arial" w:cs="Arial" w:eastAsia="Arial" w:hAnsi="Arial"/>
          <w:b w:val="false"/>
          <w:bCs w:val="false"/>
          <w:sz w:val="22"/>
          <w:szCs w:val="22"/>
        </w:rPr>
        <w:t xml:space="preserve">Headline: “Help families build their future”</w:t>
      </w:r>
    </w:p>
    <w:p>
      <w:pPr>
        <w:pStyle w:val="ListParagraph"/>
        <w:numPr>
          <w:ilvl w:val="0"/>
          <w:numId w:val="2"/>
        </w:numPr>
        <w:spacing w:after="40" w:before="40"/>
      </w:pPr>
      <w:r>
        <w:rPr>
          <w:rFonts w:ascii="Arial" w:cs="Arial" w:eastAsia="Arial" w:hAnsi="Arial"/>
          <w:b w:val="false"/>
          <w:bCs w:val="false"/>
          <w:sz w:val="22"/>
          <w:szCs w:val="22"/>
        </w:rPr>
        <w:t xml:space="preserve">Primary CTA: “Create Impact” | Secondary CTA: “Learn More”</w:t>
      </w:r>
    </w:p>
    <w:p>
      <w:pPr>
        <w:spacing w:after="80" w:before="80"/>
      </w:pPr>
      <w:r>
        <w:rPr>
          <w:rFonts w:ascii="Arial" w:cs="Arial" w:eastAsia="Arial" w:hAnsi="Arial"/>
          <w:sz w:val="22"/>
          <w:szCs w:val="22"/>
        </w:rPr>
        <w:t xml:space="preserve"/>
      </w:r>
    </w:p>
    <w:p>
      <w:pPr>
        <w:spacing w:after="80" w:before="200"/>
      </w:pPr>
      <w:r>
        <w:rPr>
          <w:rFonts w:ascii="Arial" w:cs="Arial" w:eastAsia="Arial" w:hAnsi="Arial"/>
          <w:b/>
          <w:bCs/>
          <w:color w:val="1E3D2F"/>
          <w:sz w:val="24"/>
          <w:szCs w:val="24"/>
        </w:rPr>
        <w:t xml:space="preserve">How It Works</w:t>
      </w:r>
    </w:p>
    <w:p>
      <w:pPr>
        <w:pStyle w:val="ListParagraph"/>
        <w:numPr>
          <w:ilvl w:val="0"/>
          <w:numId w:val="2"/>
        </w:numPr>
        <w:spacing w:after="40" w:before="40"/>
      </w:pPr>
      <w:r>
        <w:rPr>
          <w:rFonts w:ascii="Arial" w:cs="Arial" w:eastAsia="Arial" w:hAnsi="Arial"/>
          <w:b w:val="false"/>
          <w:bCs w:val="false"/>
          <w:sz w:val="22"/>
          <w:szCs w:val="22"/>
        </w:rPr>
        <w:t xml:space="preserve">Step 1: Families sign up | Step 2: Your donation powers matching | Step 3: Families build their future</w:t>
      </w:r>
    </w:p>
    <w:p>
      <w:pPr>
        <w:pStyle w:val="ListParagraph"/>
        <w:numPr>
          <w:ilvl w:val="0"/>
          <w:numId w:val="2"/>
        </w:numPr>
        <w:spacing w:after="40" w:before="40"/>
      </w:pPr>
      <w:r>
        <w:rPr>
          <w:rFonts w:ascii="Arial" w:cs="Arial" w:eastAsia="Arial" w:hAnsi="Arial"/>
          <w:b w:val="false"/>
          <w:bCs w:val="false"/>
          <w:sz w:val="22"/>
          <w:szCs w:val="22"/>
        </w:rPr>
        <w:t xml:space="preserve">Icon, short headline, one sentence per step. No paragraph text.</w:t>
      </w:r>
    </w:p>
    <w:p>
      <w:pPr>
        <w:spacing w:after="80" w:before="80"/>
      </w:pPr>
      <w:r>
        <w:rPr>
          <w:rFonts w:ascii="Arial" w:cs="Arial" w:eastAsia="Arial" w:hAnsi="Arial"/>
          <w:sz w:val="22"/>
          <w:szCs w:val="22"/>
        </w:rPr>
        <w:t xml:space="preserve"/>
      </w:r>
    </w:p>
    <w:p>
      <w:pPr>
        <w:spacing w:after="80" w:before="200"/>
      </w:pPr>
      <w:r>
        <w:rPr>
          <w:rFonts w:ascii="Arial" w:cs="Arial" w:eastAsia="Arial" w:hAnsi="Arial"/>
          <w:b/>
          <w:bCs/>
          <w:color w:val="1E3D2F"/>
          <w:sz w:val="24"/>
          <w:szCs w:val="24"/>
        </w:rPr>
        <w:t xml:space="preserve">Stats Bar</w:t>
      </w:r>
    </w:p>
    <w:p>
      <w:pPr>
        <w:pStyle w:val="ListParagraph"/>
        <w:numPr>
          <w:ilvl w:val="0"/>
          <w:numId w:val="2"/>
        </w:numPr>
        <w:spacing w:after="40" w:before="40"/>
      </w:pPr>
      <w:r>
        <w:rPr>
          <w:rFonts w:ascii="Arial" w:cs="Arial" w:eastAsia="Arial" w:hAnsi="Arial"/>
          <w:b w:val="false"/>
          <w:bCs w:val="false"/>
          <w:sz w:val="22"/>
          <w:szCs w:val="22"/>
        </w:rPr>
        <w:t xml:space="preserve">Pulls from live Dopple admin data. Fallback to static with last-updated timestamp.</w:t>
      </w:r>
    </w:p>
    <w:p>
      <w:pPr>
        <w:spacing w:after="80" w:before="80"/>
      </w:pPr>
      <w:r>
        <w:rPr>
          <w:rFonts w:ascii="Arial" w:cs="Arial" w:eastAsia="Arial" w:hAnsi="Arial"/>
          <w:sz w:val="22"/>
          <w:szCs w:val="22"/>
        </w:rPr>
        <w:t xml:space="preserve"/>
      </w:r>
    </w:p>
    <w:p>
      <w:pPr>
        <w:spacing w:after="80" w:before="200"/>
      </w:pPr>
      <w:r>
        <w:rPr>
          <w:rFonts w:ascii="Arial" w:cs="Arial" w:eastAsia="Arial" w:hAnsi="Arial"/>
          <w:b/>
          <w:bCs/>
          <w:color w:val="1E3D2F"/>
          <w:sz w:val="24"/>
          <w:szCs w:val="24"/>
        </w:rPr>
        <w:t xml:space="preserve">Family Funding Story</w:t>
      </w:r>
    </w:p>
    <w:p>
      <w:pPr>
        <w:pStyle w:val="ListParagraph"/>
        <w:numPr>
          <w:ilvl w:val="0"/>
          <w:numId w:val="2"/>
        </w:numPr>
        <w:spacing w:after="40" w:before="40"/>
      </w:pPr>
      <w:r>
        <w:rPr>
          <w:rFonts w:ascii="Arial" w:cs="Arial" w:eastAsia="Arial" w:hAnsi="Arial"/>
          <w:b w:val="false"/>
          <w:bCs w:val="false"/>
          <w:sz w:val="22"/>
          <w:szCs w:val="22"/>
        </w:rPr>
        <w:t xml:space="preserve">One featured case study showing matching mechanic with real dollar amounts</w:t>
      </w:r>
    </w:p>
    <w:p>
      <w:pPr>
        <w:spacing w:after="80" w:before="80"/>
      </w:pPr>
      <w:r>
        <w:rPr>
          <w:rFonts w:ascii="Arial" w:cs="Arial" w:eastAsia="Arial" w:hAnsi="Arial"/>
          <w:sz w:val="22"/>
          <w:szCs w:val="22"/>
        </w:rPr>
        <w:t xml:space="preserve"/>
      </w:r>
    </w:p>
    <w:p>
      <w:pPr>
        <w:spacing w:after="80" w:before="200"/>
      </w:pPr>
      <w:r>
        <w:rPr>
          <w:rFonts w:ascii="Arial" w:cs="Arial" w:eastAsia="Arial" w:hAnsi="Arial"/>
          <w:b/>
          <w:bCs/>
          <w:color w:val="1E3D2F"/>
          <w:sz w:val="24"/>
          <w:szCs w:val="24"/>
        </w:rPr>
        <w:t xml:space="preserve">Donor CTA</w:t>
      </w:r>
    </w:p>
    <w:p>
      <w:pPr>
        <w:pStyle w:val="ListParagraph"/>
        <w:numPr>
          <w:ilvl w:val="0"/>
          <w:numId w:val="2"/>
        </w:numPr>
        <w:spacing w:after="40" w:before="40"/>
      </w:pPr>
      <w:r>
        <w:rPr>
          <w:rFonts w:ascii="Arial" w:cs="Arial" w:eastAsia="Arial" w:hAnsi="Arial"/>
          <w:b w:val="false"/>
          <w:bCs w:val="false"/>
          <w:sz w:val="22"/>
          <w:szCs w:val="22"/>
        </w:rPr>
        <w:t xml:space="preserve">Headline: “You Fund the Match. Families Feel the Difference.” | Become a Donor button</w:t>
      </w:r>
    </w:p>
    <w:p>
      <w:pPr>
        <w:pBdr>
          <w:bottom w:val="single" w:color="CCCCCC" w:sz="4" w:space="1"/>
        </w:pBdr>
        <w:spacing w:after="160" w:before="160"/>
      </w:pPr>
    </w:p>
    <w:p>
      <w:pPr>
        <w:pStyle w:val="Heading1"/>
        <w:spacing w:after="120" w:before="360"/>
      </w:pPr>
      <w:r>
        <w:rPr>
          <w:rFonts w:ascii="Arial" w:cs="Arial" w:eastAsia="Arial" w:hAnsi="Arial"/>
          <w:b/>
          <w:bCs/>
          <w:color w:val="1E3D2F"/>
          <w:sz w:val="36"/>
          <w:szCs w:val="36"/>
        </w:rPr>
        <w:t xml:space="preserve">8. Account Creation</w:t>
      </w:r>
    </w:p>
    <w:p>
      <w:pPr>
        <w:spacing w:after="80" w:before="80"/>
      </w:pPr>
      <w:r>
        <w:rPr>
          <w:rFonts w:ascii="Arial" w:cs="Arial" w:eastAsia="Arial" w:hAnsi="Arial"/>
          <w:sz w:val="22"/>
          <w:szCs w:val="22"/>
        </w:rPr>
        <w:t xml:space="preserve"/>
      </w:r>
    </w:p>
    <w:p>
      <w:pPr>
        <w:pStyle w:val="Heading2"/>
        <w:spacing w:after="100" w:before="280"/>
      </w:pPr>
      <w:r>
        <w:rPr>
          <w:rFonts w:ascii="Arial" w:cs="Arial" w:eastAsia="Arial" w:hAnsi="Arial"/>
          <w:b/>
          <w:bCs/>
          <w:color w:val="1E3D2F"/>
          <w:sz w:val="28"/>
          <w:szCs w:val="28"/>
        </w:rPr>
        <w:t xml:space="preserve">8.1 Individual Donor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7360"/>
      </w:tblGrid>
      <w:tr>
        <w:tc>
          <w:tcPr>
            <w:tcW w:type="dxa" w:w="2000"/>
            <w:tcBorders>
              <w:top w:val="single" w:color="CCCCCC" w:sz="1"/>
              <w:left w:val="single" w:color="CCCCCC" w:sz="1"/>
              <w:bottom w:val="single" w:color="CCCCCC" w:sz="1"/>
              <w:right w:val="single" w:color="CCCCCC" w:sz="1"/>
            </w:tcBorders>
            <w:shd w:fill="E8F0EC" w:val="clear"/>
            <w:tcMar>
              <w:top w:type="dxa" w:w="80"/>
              <w:left w:type="dxa" w:w="120"/>
              <w:bottom w:type="dxa" w:w="80"/>
              <w:right w:type="dxa" w:w="120"/>
            </w:tcMar>
          </w:tcPr>
          <w:p>
            <w:r>
              <w:rPr>
                <w:rFonts w:ascii="Arial" w:cs="Arial" w:eastAsia="Arial" w:hAnsi="Arial"/>
                <w:b/>
                <w:bCs/>
                <w:sz w:val="20"/>
                <w:szCs w:val="20"/>
              </w:rPr>
              <w:t xml:space="preserve">Required fields</w:t>
            </w:r>
          </w:p>
        </w:tc>
        <w:tc>
          <w:tcPr>
            <w:tcW w:type="dxa" w:w="7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First name, last name, email, phone, password</w:t>
            </w:r>
          </w:p>
        </w:tc>
      </w:tr>
      <w:tr>
        <w:tc>
          <w:tcPr>
            <w:tcW w:type="dxa" w:w="2000"/>
            <w:tcBorders>
              <w:top w:val="single" w:color="CCCCCC" w:sz="1"/>
              <w:left w:val="single" w:color="CCCCCC" w:sz="1"/>
              <w:bottom w:val="single" w:color="CCCCCC" w:sz="1"/>
              <w:right w:val="single" w:color="CCCCCC" w:sz="1"/>
            </w:tcBorders>
            <w:shd w:fill="E8F0EC" w:val="clear"/>
            <w:tcMar>
              <w:top w:type="dxa" w:w="80"/>
              <w:left w:type="dxa" w:w="120"/>
              <w:bottom w:type="dxa" w:w="80"/>
              <w:right w:type="dxa" w:w="120"/>
            </w:tcMar>
          </w:tcPr>
          <w:p>
            <w:r>
              <w:rPr>
                <w:rFonts w:ascii="Arial" w:cs="Arial" w:eastAsia="Arial" w:hAnsi="Arial"/>
                <w:b/>
                <w:bCs/>
                <w:sz w:val="20"/>
                <w:szCs w:val="20"/>
              </w:rPr>
              <w:t xml:space="preserve">Auth options</w:t>
            </w:r>
          </w:p>
        </w:tc>
        <w:tc>
          <w:tcPr>
            <w:tcW w:type="dxa" w:w="7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Email/password, Sign in with Google, Continue as guest (view-only)</w:t>
            </w:r>
          </w:p>
        </w:tc>
      </w:tr>
      <w:tr>
        <w:tc>
          <w:tcPr>
            <w:tcW w:type="dxa" w:w="2000"/>
            <w:tcBorders>
              <w:top w:val="single" w:color="CCCCCC" w:sz="1"/>
              <w:left w:val="single" w:color="CCCCCC" w:sz="1"/>
              <w:bottom w:val="single" w:color="CCCCCC" w:sz="1"/>
              <w:right w:val="single" w:color="CCCCCC" w:sz="1"/>
            </w:tcBorders>
            <w:shd w:fill="E8F0EC" w:val="clear"/>
            <w:tcMar>
              <w:top w:type="dxa" w:w="80"/>
              <w:left w:type="dxa" w:w="120"/>
              <w:bottom w:type="dxa" w:w="80"/>
              <w:right w:type="dxa" w:w="120"/>
            </w:tcMar>
          </w:tcPr>
          <w:p>
            <w:r>
              <w:rPr>
                <w:rFonts w:ascii="Arial" w:cs="Arial" w:eastAsia="Arial" w:hAnsi="Arial"/>
                <w:b/>
                <w:bCs/>
                <w:sz w:val="20"/>
                <w:szCs w:val="20"/>
              </w:rPr>
              <w:t xml:space="preserve">Post-signup</w:t>
            </w:r>
          </w:p>
        </w:tc>
        <w:tc>
          <w:tcPr>
            <w:tcW w:type="dxa" w:w="7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Onboarding to set giving parameters and payment method via Stripe</w:t>
            </w:r>
          </w:p>
        </w:tc>
      </w:tr>
    </w:tbl>
    <w:p>
      <w:pPr>
        <w:spacing w:after="80" w:before="80"/>
      </w:pPr>
      <w:r>
        <w:rPr>
          <w:rFonts w:ascii="Arial" w:cs="Arial" w:eastAsia="Arial" w:hAnsi="Arial"/>
          <w:sz w:val="22"/>
          <w:szCs w:val="22"/>
        </w:rPr>
        <w:t xml:space="preserve"/>
      </w:r>
    </w:p>
    <w:p>
      <w:pPr>
        <w:pStyle w:val="Heading2"/>
        <w:spacing w:after="100" w:before="280"/>
      </w:pPr>
      <w:r>
        <w:rPr>
          <w:rFonts w:ascii="Arial" w:cs="Arial" w:eastAsia="Arial" w:hAnsi="Arial"/>
          <w:b/>
          <w:bCs/>
          <w:color w:val="1E3D2F"/>
          <w:sz w:val="28"/>
          <w:szCs w:val="28"/>
        </w:rPr>
        <w:t xml:space="preserve">8.2 DAF / Foundation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7360"/>
      </w:tblGrid>
      <w:tr>
        <w:tc>
          <w:tcPr>
            <w:tcW w:type="dxa" w:w="2000"/>
            <w:tcBorders>
              <w:top w:val="single" w:color="CCCCCC" w:sz="1"/>
              <w:left w:val="single" w:color="CCCCCC" w:sz="1"/>
              <w:bottom w:val="single" w:color="CCCCCC" w:sz="1"/>
              <w:right w:val="single" w:color="CCCCCC" w:sz="1"/>
            </w:tcBorders>
            <w:shd w:fill="E8F0EC" w:val="clear"/>
            <w:tcMar>
              <w:top w:type="dxa" w:w="80"/>
              <w:left w:type="dxa" w:w="120"/>
              <w:bottom w:type="dxa" w:w="80"/>
              <w:right w:type="dxa" w:w="120"/>
            </w:tcMar>
          </w:tcPr>
          <w:p>
            <w:r>
              <w:rPr>
                <w:rFonts w:ascii="Arial" w:cs="Arial" w:eastAsia="Arial" w:hAnsi="Arial"/>
                <w:b/>
                <w:bCs/>
                <w:sz w:val="20"/>
                <w:szCs w:val="20"/>
              </w:rPr>
              <w:t xml:space="preserve">Required fields</w:t>
            </w:r>
          </w:p>
        </w:tc>
        <w:tc>
          <w:tcPr>
            <w:tcW w:type="dxa" w:w="7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Organization name, EIN, primary contact name, email, phone, address</w:t>
            </w:r>
          </w:p>
        </w:tc>
      </w:tr>
      <w:tr>
        <w:tc>
          <w:tcPr>
            <w:tcW w:type="dxa" w:w="2000"/>
            <w:tcBorders>
              <w:top w:val="single" w:color="CCCCCC" w:sz="1"/>
              <w:left w:val="single" w:color="CCCCCC" w:sz="1"/>
              <w:bottom w:val="single" w:color="CCCCCC" w:sz="1"/>
              <w:right w:val="single" w:color="CCCCCC" w:sz="1"/>
            </w:tcBorders>
            <w:shd w:fill="E8F0EC" w:val="clear"/>
            <w:tcMar>
              <w:top w:type="dxa" w:w="80"/>
              <w:left w:type="dxa" w:w="120"/>
              <w:bottom w:type="dxa" w:w="80"/>
              <w:right w:type="dxa" w:w="120"/>
            </w:tcMar>
          </w:tcPr>
          <w:p>
            <w:r>
              <w:rPr>
                <w:rFonts w:ascii="Arial" w:cs="Arial" w:eastAsia="Arial" w:hAnsi="Arial"/>
                <w:b/>
                <w:bCs/>
                <w:sz w:val="20"/>
                <w:szCs w:val="20"/>
              </w:rPr>
              <w:t xml:space="preserve">Additional fields</w:t>
            </w:r>
          </w:p>
        </w:tc>
        <w:tc>
          <w:tcPr>
            <w:tcW w:type="dxa" w:w="7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Funding type (DAF / Foundation / Corporate / Other), annual giving range</w:t>
            </w:r>
          </w:p>
        </w:tc>
      </w:tr>
      <w:tr>
        <w:tc>
          <w:tcPr>
            <w:tcW w:type="dxa" w:w="2000"/>
            <w:tcBorders>
              <w:top w:val="single" w:color="CCCCCC" w:sz="1"/>
              <w:left w:val="single" w:color="CCCCCC" w:sz="1"/>
              <w:bottom w:val="single" w:color="CCCCCC" w:sz="1"/>
              <w:right w:val="single" w:color="CCCCCC" w:sz="1"/>
            </w:tcBorders>
            <w:shd w:fill="E8F0EC" w:val="clear"/>
            <w:tcMar>
              <w:top w:type="dxa" w:w="80"/>
              <w:left w:type="dxa" w:w="120"/>
              <w:bottom w:type="dxa" w:w="80"/>
              <w:right w:type="dxa" w:w="120"/>
            </w:tcMar>
          </w:tcPr>
          <w:p>
            <w:r>
              <w:rPr>
                <w:rFonts w:ascii="Arial" w:cs="Arial" w:eastAsia="Arial" w:hAnsi="Arial"/>
                <w:b/>
                <w:bCs/>
                <w:sz w:val="20"/>
                <w:szCs w:val="20"/>
              </w:rPr>
              <w:t xml:space="preserve">DAF giving</w:t>
            </w:r>
          </w:p>
        </w:tc>
        <w:tc>
          <w:tcPr>
            <w:tcW w:type="dxa" w:w="7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Integrated via Chariot/DAFpay. Donors recommend grants directly from DCG site without leaving. Covers Fidelity Charitable, Schwab Charitable (DAFgiving360), Vanguard Charitable, and other major sponsors.</w:t>
            </w:r>
          </w:p>
        </w:tc>
      </w:tr>
      <w:tr>
        <w:tc>
          <w:tcPr>
            <w:tcW w:type="dxa" w:w="2000"/>
            <w:tcBorders>
              <w:top w:val="single" w:color="CCCCCC" w:sz="1"/>
              <w:left w:val="single" w:color="CCCCCC" w:sz="1"/>
              <w:bottom w:val="single" w:color="CCCCCC" w:sz="1"/>
              <w:right w:val="single" w:color="CCCCCC" w:sz="1"/>
            </w:tcBorders>
            <w:shd w:fill="E8F0EC" w:val="clear"/>
            <w:tcMar>
              <w:top w:type="dxa" w:w="80"/>
              <w:left w:type="dxa" w:w="120"/>
              <w:bottom w:type="dxa" w:w="80"/>
              <w:right w:type="dxa" w:w="120"/>
            </w:tcMar>
          </w:tcPr>
          <w:p>
            <w:r>
              <w:rPr>
                <w:rFonts w:ascii="Arial" w:cs="Arial" w:eastAsia="Arial" w:hAnsi="Arial"/>
                <w:b/>
                <w:bCs/>
                <w:sz w:val="20"/>
                <w:szCs w:val="20"/>
              </w:rPr>
              <w:t xml:space="preserve">Post-signup</w:t>
            </w:r>
          </w:p>
        </w:tc>
        <w:tc>
          <w:tcPr>
            <w:tcW w:type="dxa" w:w="7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Onboarding to configure program parameters and reporting preferences</w:t>
            </w:r>
          </w:p>
        </w:tc>
      </w:tr>
    </w:tbl>
    <w:p>
      <w:pPr>
        <w:spacing w:after="80" w:before="80"/>
      </w:pPr>
      <w:r>
        <w:rPr>
          <w:rFonts w:ascii="Arial" w:cs="Arial" w:eastAsia="Arial" w:hAnsi="Arial"/>
          <w:sz w:val="22"/>
          <w:szCs w:val="22"/>
        </w:rPr>
        <w:t xml:space="preserve"/>
      </w:r>
    </w:p>
    <w:p>
      <w:pPr>
        <w:pStyle w:val="Heading2"/>
        <w:spacing w:after="100" w:before="280"/>
      </w:pPr>
      <w:r>
        <w:rPr>
          <w:rFonts w:ascii="Arial" w:cs="Arial" w:eastAsia="Arial" w:hAnsi="Arial"/>
          <w:b/>
          <w:bCs/>
          <w:color w:val="1E3D2F"/>
          <w:sz w:val="28"/>
          <w:szCs w:val="28"/>
        </w:rPr>
        <w:t xml:space="preserve">8.3 Institutional Grant Partners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7360"/>
      </w:tblGrid>
      <w:tr>
        <w:tc>
          <w:tcPr>
            <w:tcW w:type="dxa" w:w="2000"/>
            <w:tcBorders>
              <w:top w:val="single" w:color="CCCCCC" w:sz="1"/>
              <w:left w:val="single" w:color="CCCCCC" w:sz="1"/>
              <w:bottom w:val="single" w:color="CCCCCC" w:sz="1"/>
              <w:right w:val="single" w:color="CCCCCC" w:sz="1"/>
            </w:tcBorders>
            <w:shd w:fill="E8F0EC" w:val="clear"/>
            <w:tcMar>
              <w:top w:type="dxa" w:w="80"/>
              <w:left w:type="dxa" w:w="120"/>
              <w:bottom w:type="dxa" w:w="80"/>
              <w:right w:type="dxa" w:w="120"/>
            </w:tcMar>
          </w:tcPr>
          <w:p>
            <w:r>
              <w:rPr>
                <w:rFonts w:ascii="Arial" w:cs="Arial" w:eastAsia="Arial" w:hAnsi="Arial"/>
                <w:b/>
                <w:bCs/>
                <w:sz w:val="20"/>
                <w:szCs w:val="20"/>
              </w:rPr>
              <w:t xml:space="preserve">Provisioning</w:t>
            </w:r>
          </w:p>
        </w:tc>
        <w:tc>
          <w:tcPr>
            <w:tcW w:type="dxa" w:w="7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Created by Dopple admin, not self-serve</w:t>
            </w:r>
          </w:p>
        </w:tc>
      </w:tr>
      <w:tr>
        <w:tc>
          <w:tcPr>
            <w:tcW w:type="dxa" w:w="2000"/>
            <w:tcBorders>
              <w:top w:val="single" w:color="CCCCCC" w:sz="1"/>
              <w:left w:val="single" w:color="CCCCCC" w:sz="1"/>
              <w:bottom w:val="single" w:color="CCCCCC" w:sz="1"/>
              <w:right w:val="single" w:color="CCCCCC" w:sz="1"/>
            </w:tcBorders>
            <w:shd w:fill="E8F0EC" w:val="clear"/>
            <w:tcMar>
              <w:top w:type="dxa" w:w="80"/>
              <w:left w:type="dxa" w:w="120"/>
              <w:bottom w:type="dxa" w:w="80"/>
              <w:right w:type="dxa" w:w="120"/>
            </w:tcMar>
          </w:tcPr>
          <w:p>
            <w:r>
              <w:rPr>
                <w:rFonts w:ascii="Arial" w:cs="Arial" w:eastAsia="Arial" w:hAnsi="Arial"/>
                <w:b/>
                <w:bCs/>
                <w:sz w:val="20"/>
                <w:szCs w:val="20"/>
              </w:rPr>
              <w:t xml:space="preserve">Access</w:t>
            </w:r>
          </w:p>
        </w:tc>
        <w:tc>
          <w:tcPr>
            <w:tcW w:type="dxa" w:w="7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Scoped to partner’s grant cohort only</w:t>
            </w:r>
          </w:p>
        </w:tc>
      </w:tr>
      <w:tr>
        <w:tc>
          <w:tcPr>
            <w:tcW w:type="dxa" w:w="2000"/>
            <w:tcBorders>
              <w:top w:val="single" w:color="CCCCCC" w:sz="1"/>
              <w:left w:val="single" w:color="CCCCCC" w:sz="1"/>
              <w:bottom w:val="single" w:color="CCCCCC" w:sz="1"/>
              <w:right w:val="single" w:color="CCCCCC" w:sz="1"/>
            </w:tcBorders>
            <w:shd w:fill="E8F0EC" w:val="clear"/>
            <w:tcMar>
              <w:top w:type="dxa" w:w="80"/>
              <w:left w:type="dxa" w:w="120"/>
              <w:bottom w:type="dxa" w:w="80"/>
              <w:right w:type="dxa" w:w="120"/>
            </w:tcMar>
          </w:tcPr>
          <w:p>
            <w:r>
              <w:rPr>
                <w:rFonts w:ascii="Arial" w:cs="Arial" w:eastAsia="Arial" w:hAnsi="Arial"/>
                <w:b/>
                <w:bCs/>
                <w:sz w:val="20"/>
                <w:szCs w:val="20"/>
              </w:rPr>
              <w:t xml:space="preserve">Parameters</w:t>
            </w:r>
          </w:p>
        </w:tc>
        <w:tc>
          <w:tcPr>
            <w:tcW w:type="dxa" w:w="7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Set by grant terms, not configurable by partner</w:t>
            </w:r>
          </w:p>
        </w:tc>
      </w:tr>
      <w:tr>
        <w:tc>
          <w:tcPr>
            <w:tcW w:type="dxa" w:w="2000"/>
            <w:tcBorders>
              <w:top w:val="single" w:color="CCCCCC" w:sz="1"/>
              <w:left w:val="single" w:color="CCCCCC" w:sz="1"/>
              <w:bottom w:val="single" w:color="CCCCCC" w:sz="1"/>
              <w:right w:val="single" w:color="CCCCCC" w:sz="1"/>
            </w:tcBorders>
            <w:shd w:fill="E8F0EC" w:val="clear"/>
            <w:tcMar>
              <w:top w:type="dxa" w:w="80"/>
              <w:left w:type="dxa" w:w="120"/>
              <w:bottom w:type="dxa" w:w="80"/>
              <w:right w:type="dxa" w:w="120"/>
            </w:tcMar>
          </w:tcPr>
          <w:p>
            <w:r>
              <w:rPr>
                <w:rFonts w:ascii="Arial" w:cs="Arial" w:eastAsia="Arial" w:hAnsi="Arial"/>
                <w:b/>
                <w:bCs/>
                <w:sz w:val="20"/>
                <w:szCs w:val="20"/>
              </w:rPr>
              <w:t xml:space="preserve">Onboarding</w:t>
            </w:r>
          </w:p>
        </w:tc>
        <w:tc>
          <w:tcPr>
            <w:tcW w:type="dxa" w:w="7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Admin-assisted setup call</w:t>
            </w:r>
          </w:p>
        </w:tc>
      </w:tr>
    </w:tbl>
    <w:p>
      <w:pPr>
        <w:pBdr>
          <w:bottom w:val="single" w:color="CCCCCC" w:sz="4" w:space="1"/>
        </w:pBdr>
        <w:spacing w:after="160" w:before="160"/>
      </w:pPr>
    </w:p>
    <w:p>
      <w:pPr>
        <w:pStyle w:val="Heading1"/>
        <w:spacing w:after="120" w:before="360"/>
      </w:pPr>
      <w:r>
        <w:rPr>
          <w:rFonts w:ascii="Arial" w:cs="Arial" w:eastAsia="Arial" w:hAnsi="Arial"/>
          <w:b/>
          <w:bCs/>
          <w:color w:val="1E3D2F"/>
          <w:sz w:val="36"/>
          <w:szCs w:val="36"/>
        </w:rPr>
        <w:t xml:space="preserve">9. Giving Parameters</w:t>
      </w:r>
    </w:p>
    <w:p>
      <w:pPr>
        <w:spacing w:after="80" w:before="80"/>
      </w:pPr>
      <w:r>
        <w:rPr>
          <w:rFonts w:ascii="Arial" w:cs="Arial" w:eastAsia="Arial" w:hAnsi="Arial"/>
          <w:sz w:val="22"/>
          <w:szCs w:val="22"/>
        </w:rPr>
        <w:t xml:space="preserve">Applies to DCG donors and DAF/foundation accounts only. Parameters are enforced by the Dopple matching engine at point of purchase — not self-reported after the fact.</w:t>
      </w:r>
    </w:p>
    <w:p>
      <w:pPr>
        <w:spacing w:after="80" w:before="80"/>
      </w:pPr>
      <w:r>
        <w:rPr>
          <w:rFonts w:ascii="Arial" w:cs="Arial" w:eastAsia="Arial" w:hAnsi="Arial"/>
          <w:sz w:val="22"/>
          <w:szCs w:val="22"/>
        </w:rPr>
        <w:t xml:space="preserve"/>
      </w:r>
    </w:p>
    <w:p>
      <w:pPr>
        <w:pStyle w:val="Heading2"/>
        <w:spacing w:after="100" w:before="280"/>
      </w:pPr>
      <w:r>
        <w:rPr>
          <w:rFonts w:ascii="Arial" w:cs="Arial" w:eastAsia="Arial" w:hAnsi="Arial"/>
          <w:b/>
          <w:bCs/>
          <w:color w:val="1E3D2F"/>
          <w:sz w:val="28"/>
          <w:szCs w:val="28"/>
        </w:rPr>
        <w:t xml:space="preserve">9.1 Geographic</w:t>
      </w:r>
    </w:p>
    <w:p>
      <w:pPr>
        <w:pStyle w:val="ListParagraph"/>
        <w:numPr>
          <w:ilvl w:val="0"/>
          <w:numId w:val="2"/>
        </w:numPr>
        <w:spacing w:after="40" w:before="40"/>
      </w:pPr>
      <w:r>
        <w:rPr>
          <w:rFonts w:ascii="Arial" w:cs="Arial" w:eastAsia="Arial" w:hAnsi="Arial"/>
          <w:b w:val="false"/>
          <w:bCs w:val="false"/>
          <w:sz w:val="22"/>
          <w:szCs w:val="22"/>
        </w:rPr>
        <w:t xml:space="preserve">ZIP code, DMA, State, or National (no restriction). Multiple selections allowed.</w:t>
      </w:r>
    </w:p>
    <w:p>
      <w:pPr>
        <w:spacing w:after="80" w:before="80"/>
      </w:pPr>
      <w:r>
        <w:rPr>
          <w:rFonts w:ascii="Arial" w:cs="Arial" w:eastAsia="Arial" w:hAnsi="Arial"/>
          <w:sz w:val="22"/>
          <w:szCs w:val="22"/>
        </w:rPr>
        <w:t xml:space="preserve"/>
      </w:r>
    </w:p>
    <w:p>
      <w:pPr>
        <w:pStyle w:val="Heading2"/>
        <w:spacing w:after="100" w:before="280"/>
      </w:pPr>
      <w:r>
        <w:rPr>
          <w:rFonts w:ascii="Arial" w:cs="Arial" w:eastAsia="Arial" w:hAnsi="Arial"/>
          <w:b/>
          <w:bCs/>
          <w:color w:val="1E3D2F"/>
          <w:sz w:val="28"/>
          <w:szCs w:val="28"/>
        </w:rPr>
        <w:t xml:space="preserve">9.2 Sector</w:t>
      </w:r>
    </w:p>
    <w:p>
      <w:pPr>
        <w:pStyle w:val="ListParagraph"/>
        <w:numPr>
          <w:ilvl w:val="0"/>
          <w:numId w:val="2"/>
        </w:numPr>
        <w:spacing w:after="40" w:before="40"/>
      </w:pPr>
      <w:r>
        <w:rPr>
          <w:rFonts w:ascii="Arial" w:cs="Arial" w:eastAsia="Arial" w:hAnsi="Arial"/>
          <w:b w:val="false"/>
          <w:bCs w:val="false"/>
          <w:sz w:val="22"/>
          <w:szCs w:val="22"/>
        </w:rPr>
        <w:t xml:space="preserve">Diapers &amp; baby essentials | Food &amp; nutrition | Childcare | Housing &amp; rent | Healthcare | Education &amp; tuition | Clothing | Work- and education-critical items</w:t>
      </w:r>
    </w:p>
    <w:p>
      <w:pPr>
        <w:spacing w:after="80" w:before="80"/>
      </w:pPr>
      <w:r>
        <w:rPr>
          <w:rFonts w:ascii="Arial" w:cs="Arial" w:eastAsia="Arial" w:hAnsi="Arial"/>
          <w:sz w:val="22"/>
          <w:szCs w:val="22"/>
        </w:rPr>
        <w:t xml:space="preserve"/>
      </w:r>
    </w:p>
    <w:p>
      <w:pPr>
        <w:pStyle w:val="Heading2"/>
        <w:spacing w:after="100" w:before="280"/>
      </w:pPr>
      <w:r>
        <w:rPr>
          <w:rFonts w:ascii="Arial" w:cs="Arial" w:eastAsia="Arial" w:hAnsi="Arial"/>
          <w:b/>
          <w:bCs/>
          <w:color w:val="1E3D2F"/>
          <w:sz w:val="28"/>
          <w:szCs w:val="28"/>
        </w:rPr>
        <w:t xml:space="preserve">9.3 Income Level</w:t>
      </w:r>
    </w:p>
    <w:p>
      <w:pPr>
        <w:pStyle w:val="ListParagraph"/>
        <w:numPr>
          <w:ilvl w:val="0"/>
          <w:numId w:val="2"/>
        </w:numPr>
        <w:spacing w:after="40" w:before="40"/>
      </w:pPr>
      <w:r>
        <w:rPr>
          <w:rFonts w:ascii="Arial" w:cs="Arial" w:eastAsia="Arial" w:hAnsi="Arial"/>
          <w:b w:val="false"/>
          <w:bCs w:val="false"/>
          <w:sz w:val="22"/>
          <w:szCs w:val="22"/>
        </w:rPr>
        <w:t xml:space="preserve">Below FPL (&lt;100%) | Low income (100–200% FPL) | Moderate income (200–300% FPL) | All eligible households</w:t>
      </w:r>
    </w:p>
    <w:p>
      <w:pPr>
        <w:spacing w:after="80" w:before="80"/>
      </w:pPr>
      <w:r>
        <w:rPr>
          <w:rFonts w:ascii="Arial" w:cs="Arial" w:eastAsia="Arial" w:hAnsi="Arial"/>
          <w:sz w:val="22"/>
          <w:szCs w:val="22"/>
        </w:rPr>
        <w:t xml:space="preserve"/>
      </w:r>
    </w:p>
    <w:p>
      <w:pPr>
        <w:pStyle w:val="Heading2"/>
        <w:spacing w:after="100" w:before="280"/>
      </w:pPr>
      <w:r>
        <w:rPr>
          <w:rFonts w:ascii="Arial" w:cs="Arial" w:eastAsia="Arial" w:hAnsi="Arial"/>
          <w:b/>
          <w:bCs/>
          <w:color w:val="1E3D2F"/>
          <w:sz w:val="28"/>
          <w:szCs w:val="28"/>
        </w:rPr>
        <w:t xml:space="preserve">9.4 Demographic</w:t>
      </w:r>
    </w:p>
    <w:p>
      <w:pPr>
        <w:pStyle w:val="ListParagraph"/>
        <w:numPr>
          <w:ilvl w:val="0"/>
          <w:numId w:val="2"/>
        </w:numPr>
        <w:spacing w:after="40" w:before="40"/>
      </w:pPr>
      <w:r>
        <w:rPr>
          <w:rFonts w:ascii="Arial" w:cs="Arial" w:eastAsia="Arial" w:hAnsi="Arial"/>
          <w:b w:val="false"/>
          <w:bCs w:val="false"/>
          <w:sz w:val="22"/>
          <w:szCs w:val="22"/>
        </w:rPr>
        <w:t xml:space="preserve">Single-parent households | Families with children under 5 | Families with school-age children | Veterans | No restriction</w:t>
      </w:r>
    </w:p>
    <w:p>
      <w:pPr>
        <w:pStyle w:val="ListParagraph"/>
        <w:numPr>
          <w:ilvl w:val="0"/>
          <w:numId w:val="2"/>
        </w:numPr>
        <w:spacing w:after="40" w:before="40"/>
      </w:pPr>
      <w:r>
        <w:rPr>
          <w:rFonts w:ascii="Arial" w:cs="Arial" w:eastAsia="Arial" w:hAnsi="Arial"/>
          <w:b w:val="false"/>
          <w:bCs w:val="false"/>
          <w:sz w:val="22"/>
          <w:szCs w:val="22"/>
        </w:rPr>
        <w:t xml:space="preserve">Note: Race, ethnicity, and gender are not selectable parameters. Appear in aggregate impact reports only.</w:t>
      </w:r>
    </w:p>
    <w:p>
      <w:pPr>
        <w:spacing w:after="80" w:before="80"/>
      </w:pPr>
      <w:r>
        <w:rPr>
          <w:rFonts w:ascii="Arial" w:cs="Arial" w:eastAsia="Arial" w:hAnsi="Arial"/>
          <w:sz w:val="22"/>
          <w:szCs w:val="22"/>
        </w:rPr>
        <w:t xml:space="preserve"/>
      </w:r>
    </w:p>
    <w:p>
      <w:pPr>
        <w:pStyle w:val="Heading2"/>
        <w:spacing w:after="100" w:before="280"/>
      </w:pPr>
      <w:r>
        <w:rPr>
          <w:rFonts w:ascii="Arial" w:cs="Arial" w:eastAsia="Arial" w:hAnsi="Arial"/>
          <w:b/>
          <w:bCs/>
          <w:color w:val="1E3D2F"/>
          <w:sz w:val="28"/>
          <w:szCs w:val="28"/>
        </w:rPr>
        <w:t xml:space="preserve">9.5 Donation Schedule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7360"/>
      </w:tblGrid>
      <w:tr>
        <w:tc>
          <w:tcPr>
            <w:tcW w:type="dxa" w:w="2000"/>
            <w:tcBorders>
              <w:top w:val="single" w:color="CCCCCC" w:sz="1"/>
              <w:left w:val="single" w:color="CCCCCC" w:sz="1"/>
              <w:bottom w:val="single" w:color="CCCCCC" w:sz="1"/>
              <w:right w:val="single" w:color="CCCCCC" w:sz="1"/>
            </w:tcBorders>
            <w:shd w:fill="E8F0EC" w:val="clear"/>
            <w:tcMar>
              <w:top w:type="dxa" w:w="80"/>
              <w:left w:type="dxa" w:w="120"/>
              <w:bottom w:type="dxa" w:w="80"/>
              <w:right w:type="dxa" w:w="120"/>
            </w:tcMar>
          </w:tcPr>
          <w:p>
            <w:r>
              <w:rPr>
                <w:rFonts w:ascii="Arial" w:cs="Arial" w:eastAsia="Arial" w:hAnsi="Arial"/>
                <w:b/>
                <w:bCs/>
                <w:sz w:val="20"/>
                <w:szCs w:val="20"/>
              </w:rPr>
              <w:t xml:space="preserve">Frequency</w:t>
            </w:r>
          </w:p>
        </w:tc>
        <w:tc>
          <w:tcPr>
            <w:tcW w:type="dxa" w:w="7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One-time, monthly, quarterly, annual</w:t>
            </w:r>
          </w:p>
        </w:tc>
      </w:tr>
      <w:tr>
        <w:tc>
          <w:tcPr>
            <w:tcW w:type="dxa" w:w="2000"/>
            <w:tcBorders>
              <w:top w:val="single" w:color="CCCCCC" w:sz="1"/>
              <w:left w:val="single" w:color="CCCCCC" w:sz="1"/>
              <w:bottom w:val="single" w:color="CCCCCC" w:sz="1"/>
              <w:right w:val="single" w:color="CCCCCC" w:sz="1"/>
            </w:tcBorders>
            <w:shd w:fill="E8F0EC" w:val="clear"/>
            <w:tcMar>
              <w:top w:type="dxa" w:w="80"/>
              <w:left w:type="dxa" w:w="120"/>
              <w:bottom w:type="dxa" w:w="80"/>
              <w:right w:type="dxa" w:w="120"/>
            </w:tcMar>
          </w:tcPr>
          <w:p>
            <w:r>
              <w:rPr>
                <w:rFonts w:ascii="Arial" w:cs="Arial" w:eastAsia="Arial" w:hAnsi="Arial"/>
                <w:b/>
                <w:bCs/>
                <w:sz w:val="20"/>
                <w:szCs w:val="20"/>
              </w:rPr>
              <w:t xml:space="preserve">Tiers</w:t>
            </w:r>
          </w:p>
        </w:tc>
        <w:tc>
          <w:tcPr>
            <w:tcW w:type="dxa" w:w="7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$1k–$5k individual | $5k–$50k focused program | $50k+ custom named program</w:t>
            </w:r>
          </w:p>
        </w:tc>
      </w:tr>
      <w:tr>
        <w:tc>
          <w:tcPr>
            <w:tcW w:type="dxa" w:w="2000"/>
            <w:tcBorders>
              <w:top w:val="single" w:color="CCCCCC" w:sz="1"/>
              <w:left w:val="single" w:color="CCCCCC" w:sz="1"/>
              <w:bottom w:val="single" w:color="CCCCCC" w:sz="1"/>
              <w:right w:val="single" w:color="CCCCCC" w:sz="1"/>
            </w:tcBorders>
            <w:shd w:fill="E8F0EC" w:val="clear"/>
            <w:tcMar>
              <w:top w:type="dxa" w:w="80"/>
              <w:left w:type="dxa" w:w="120"/>
              <w:bottom w:type="dxa" w:w="80"/>
              <w:right w:type="dxa" w:w="120"/>
            </w:tcMar>
          </w:tcPr>
          <w:p>
            <w:r>
              <w:rPr>
                <w:rFonts w:ascii="Arial" w:cs="Arial" w:eastAsia="Arial" w:hAnsi="Arial"/>
                <w:b/>
                <w:bCs/>
                <w:sz w:val="20"/>
                <w:szCs w:val="20"/>
              </w:rPr>
              <w:t xml:space="preserve">Payment</w:t>
            </w:r>
          </w:p>
        </w:tc>
        <w:tc>
          <w:tcPr>
            <w:tcW w:type="dxa" w:w="7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Stripe for all portal donations. DAF grants processed via Chariot/DAFpay then held in donor’s Stripe account within DCG.</w:t>
            </w:r>
          </w:p>
        </w:tc>
      </w:tr>
    </w:tbl>
    <w:p>
      <w:pPr>
        <w:pBdr>
          <w:bottom w:val="single" w:color="CCCCCC" w:sz="4" w:space="1"/>
        </w:pBdr>
        <w:spacing w:after="160" w:before="160"/>
      </w:pPr>
    </w:p>
    <w:p>
      <w:pPr>
        <w:pStyle w:val="Heading1"/>
        <w:spacing w:after="120" w:before="360"/>
      </w:pPr>
      <w:r>
        <w:rPr>
          <w:rFonts w:ascii="Arial" w:cs="Arial" w:eastAsia="Arial" w:hAnsi="Arial"/>
          <w:b/>
          <w:bCs/>
          <w:color w:val="1E3D2F"/>
          <w:sz w:val="36"/>
          <w:szCs w:val="36"/>
        </w:rPr>
        <w:t xml:space="preserve">10. Unified Reporting Dashboard</w:t>
      </w:r>
    </w:p>
    <w:p>
      <w:pPr>
        <w:spacing w:after="80" w:before="80"/>
      </w:pPr>
      <w:r>
        <w:rPr>
          <w:rFonts w:ascii="Arial" w:cs="Arial" w:eastAsia="Arial" w:hAnsi="Arial"/>
          <w:sz w:val="22"/>
          <w:szCs w:val="22"/>
        </w:rPr>
        <w:t xml:space="preserve">Same dashboard for all funder types. Data is scoped by funding source. No funder sees another’s data.</w:t>
      </w:r>
    </w:p>
    <w:p>
      <w:pPr>
        <w:spacing w:after="80" w:before="80"/>
      </w:pPr>
      <w:r>
        <w:rPr>
          <w:rFonts w:ascii="Arial" w:cs="Arial" w:eastAsia="Arial" w:hAnsi="Arial"/>
          <w:sz w:val="22"/>
          <w:szCs w:val="22"/>
        </w:rPr>
        <w:t xml:space="preserve"/>
      </w:r>
    </w:p>
    <w:p>
      <w:pPr>
        <w:pStyle w:val="Heading2"/>
        <w:spacing w:after="100" w:before="280"/>
      </w:pPr>
      <w:r>
        <w:rPr>
          <w:rFonts w:ascii="Arial" w:cs="Arial" w:eastAsia="Arial" w:hAnsi="Arial"/>
          <w:b/>
          <w:bCs/>
          <w:color w:val="1E3D2F"/>
          <w:sz w:val="28"/>
          <w:szCs w:val="28"/>
        </w:rPr>
        <w:t xml:space="preserve">10.1 Summary Metrics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7360"/>
      </w:tblGrid>
      <w:tr>
        <w:tc>
          <w:tcPr>
            <w:tcW w:type="dxa" w:w="2000"/>
            <w:tcBorders>
              <w:top w:val="single" w:color="CCCCCC" w:sz="1"/>
              <w:left w:val="single" w:color="CCCCCC" w:sz="1"/>
              <w:bottom w:val="single" w:color="CCCCCC" w:sz="1"/>
              <w:right w:val="single" w:color="CCCCCC" w:sz="1"/>
            </w:tcBorders>
            <w:shd w:fill="E8F0EC" w:val="clear"/>
            <w:tcMar>
              <w:top w:type="dxa" w:w="80"/>
              <w:left w:type="dxa" w:w="120"/>
              <w:bottom w:type="dxa" w:w="80"/>
              <w:right w:type="dxa" w:w="120"/>
            </w:tcMar>
          </w:tcPr>
          <w:p>
            <w:r>
              <w:rPr>
                <w:rFonts w:ascii="Arial" w:cs="Arial" w:eastAsia="Arial" w:hAnsi="Arial"/>
                <w:b/>
                <w:bCs/>
                <w:sz w:val="20"/>
                <w:szCs w:val="20"/>
              </w:rPr>
              <w:t xml:space="preserve">Total committed</w:t>
            </w:r>
          </w:p>
        </w:tc>
        <w:tc>
          <w:tcPr>
            <w:tcW w:type="dxa" w:w="7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Funder’s total capital committed for current period</w:t>
            </w:r>
          </w:p>
        </w:tc>
      </w:tr>
      <w:tr>
        <w:tc>
          <w:tcPr>
            <w:tcW w:type="dxa" w:w="2000"/>
            <w:tcBorders>
              <w:top w:val="single" w:color="CCCCCC" w:sz="1"/>
              <w:left w:val="single" w:color="CCCCCC" w:sz="1"/>
              <w:bottom w:val="single" w:color="CCCCCC" w:sz="1"/>
              <w:right w:val="single" w:color="CCCCCC" w:sz="1"/>
            </w:tcBorders>
            <w:shd w:fill="E8F0EC" w:val="clear"/>
            <w:tcMar>
              <w:top w:type="dxa" w:w="80"/>
              <w:left w:type="dxa" w:w="120"/>
              <w:bottom w:type="dxa" w:w="80"/>
              <w:right w:type="dxa" w:w="120"/>
            </w:tcMar>
          </w:tcPr>
          <w:p>
            <w:r>
              <w:rPr>
                <w:rFonts w:ascii="Arial" w:cs="Arial" w:eastAsia="Arial" w:hAnsi="Arial"/>
                <w:b/>
                <w:bCs/>
                <w:sz w:val="20"/>
                <w:szCs w:val="20"/>
              </w:rPr>
              <w:t xml:space="preserve">Total deployed</w:t>
            </w:r>
          </w:p>
        </w:tc>
        <w:tc>
          <w:tcPr>
            <w:tcW w:type="dxa" w:w="7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Amount reached families via verified transactions</w:t>
            </w:r>
          </w:p>
        </w:tc>
      </w:tr>
      <w:tr>
        <w:tc>
          <w:tcPr>
            <w:tcW w:type="dxa" w:w="2000"/>
            <w:tcBorders>
              <w:top w:val="single" w:color="CCCCCC" w:sz="1"/>
              <w:left w:val="single" w:color="CCCCCC" w:sz="1"/>
              <w:bottom w:val="single" w:color="CCCCCC" w:sz="1"/>
              <w:right w:val="single" w:color="CCCCCC" w:sz="1"/>
            </w:tcBorders>
            <w:shd w:fill="E8F0EC" w:val="clear"/>
            <w:tcMar>
              <w:top w:type="dxa" w:w="80"/>
              <w:left w:type="dxa" w:w="120"/>
              <w:bottom w:type="dxa" w:w="80"/>
              <w:right w:type="dxa" w:w="120"/>
            </w:tcMar>
          </w:tcPr>
          <w:p>
            <w:r>
              <w:rPr>
                <w:rFonts w:ascii="Arial" w:cs="Arial" w:eastAsia="Arial" w:hAnsi="Arial"/>
                <w:b/>
                <w:bCs/>
                <w:sz w:val="20"/>
                <w:szCs w:val="20"/>
              </w:rPr>
              <w:t xml:space="preserve">Families reached</w:t>
            </w:r>
          </w:p>
        </w:tc>
        <w:tc>
          <w:tcPr>
            <w:tcW w:type="dxa" w:w="7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Unique family accounts that received matching dollars from this funder</w:t>
            </w:r>
          </w:p>
        </w:tc>
      </w:tr>
      <w:tr>
        <w:tc>
          <w:tcPr>
            <w:tcW w:type="dxa" w:w="2000"/>
            <w:tcBorders>
              <w:top w:val="single" w:color="CCCCCC" w:sz="1"/>
              <w:left w:val="single" w:color="CCCCCC" w:sz="1"/>
              <w:bottom w:val="single" w:color="CCCCCC" w:sz="1"/>
              <w:right w:val="single" w:color="CCCCCC" w:sz="1"/>
            </w:tcBorders>
            <w:shd w:fill="E8F0EC" w:val="clear"/>
            <w:tcMar>
              <w:top w:type="dxa" w:w="80"/>
              <w:left w:type="dxa" w:w="120"/>
              <w:bottom w:type="dxa" w:w="80"/>
              <w:right w:type="dxa" w:w="120"/>
            </w:tcMar>
          </w:tcPr>
          <w:p>
            <w:r>
              <w:rPr>
                <w:rFonts w:ascii="Arial" w:cs="Arial" w:eastAsia="Arial" w:hAnsi="Arial"/>
                <w:b/>
                <w:bCs/>
                <w:sz w:val="20"/>
                <w:szCs w:val="20"/>
              </w:rPr>
              <w:t xml:space="preserve">Deployment rate</w:t>
            </w:r>
          </w:p>
        </w:tc>
        <w:tc>
          <w:tcPr>
            <w:tcW w:type="dxa" w:w="7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Deployed ÷ committed, shown as percentage and progress bar</w:t>
            </w:r>
          </w:p>
        </w:tc>
      </w:tr>
    </w:tbl>
    <w:p>
      <w:pPr>
        <w:spacing w:after="80" w:before="80"/>
      </w:pPr>
      <w:r>
        <w:rPr>
          <w:rFonts w:ascii="Arial" w:cs="Arial" w:eastAsia="Arial" w:hAnsi="Arial"/>
          <w:sz w:val="22"/>
          <w:szCs w:val="22"/>
        </w:rPr>
        <w:t xml:space="preserve"/>
      </w:r>
    </w:p>
    <w:p>
      <w:pPr>
        <w:pStyle w:val="Heading2"/>
        <w:spacing w:after="100" w:before="280"/>
      </w:pPr>
      <w:r>
        <w:rPr>
          <w:rFonts w:ascii="Arial" w:cs="Arial" w:eastAsia="Arial" w:hAnsi="Arial"/>
          <w:b/>
          <w:bCs/>
          <w:color w:val="1E3D2F"/>
          <w:sz w:val="28"/>
          <w:szCs w:val="28"/>
        </w:rPr>
        <w:t xml:space="preserve">10.2 Charts</w:t>
      </w:r>
    </w:p>
    <w:p>
      <w:pPr>
        <w:pStyle w:val="ListParagraph"/>
        <w:numPr>
          <w:ilvl w:val="0"/>
          <w:numId w:val="2"/>
        </w:numPr>
        <w:spacing w:after="40" w:before="40"/>
      </w:pPr>
      <w:r>
        <w:rPr>
          <w:rFonts w:ascii="Arial" w:cs="Arial" w:eastAsia="Arial" w:hAnsi="Arial"/>
          <w:b w:val="false"/>
          <w:bCs w:val="false"/>
          <w:sz w:val="22"/>
          <w:szCs w:val="22"/>
        </w:rPr>
        <w:t xml:space="preserve">Allocation by sector — bar or donut, compared to funder’s parameters, exportable</w:t>
      </w:r>
    </w:p>
    <w:p>
      <w:pPr>
        <w:pStyle w:val="ListParagraph"/>
        <w:numPr>
          <w:ilvl w:val="0"/>
          <w:numId w:val="2"/>
        </w:numPr>
        <w:spacing w:after="40" w:before="40"/>
      </w:pPr>
      <w:r>
        <w:rPr>
          <w:rFonts w:ascii="Arial" w:cs="Arial" w:eastAsia="Arial" w:hAnsi="Arial"/>
          <w:b w:val="false"/>
          <w:bCs w:val="false"/>
          <w:sz w:val="22"/>
          <w:szCs w:val="22"/>
        </w:rPr>
        <w:t xml:space="preserve">Geographic distribution — map or bar chart, drill-down for national funders</w:t>
      </w:r>
    </w:p>
    <w:p>
      <w:pPr>
        <w:pStyle w:val="ListParagraph"/>
        <w:numPr>
          <w:ilvl w:val="0"/>
          <w:numId w:val="2"/>
        </w:numPr>
        <w:spacing w:after="40" w:before="40"/>
      </w:pPr>
      <w:r>
        <w:rPr>
          <w:rFonts w:ascii="Arial" w:cs="Arial" w:eastAsia="Arial" w:hAnsi="Arial"/>
          <w:b w:val="false"/>
          <w:bCs w:val="false"/>
          <w:sz w:val="22"/>
          <w:szCs w:val="22"/>
        </w:rPr>
        <w:t xml:space="preserve">Demographic distribution — aggregate only, no individual family data</w:t>
      </w:r>
    </w:p>
    <w:p>
      <w:pPr>
        <w:spacing w:after="80" w:before="80"/>
      </w:pPr>
      <w:r>
        <w:rPr>
          <w:rFonts w:ascii="Arial" w:cs="Arial" w:eastAsia="Arial" w:hAnsi="Arial"/>
          <w:sz w:val="22"/>
          <w:szCs w:val="22"/>
        </w:rPr>
        <w:t xml:space="preserve"/>
      </w:r>
    </w:p>
    <w:p>
      <w:pPr>
        <w:pStyle w:val="Heading2"/>
        <w:spacing w:after="100" w:before="280"/>
      </w:pPr>
      <w:r>
        <w:rPr>
          <w:rFonts w:ascii="Arial" w:cs="Arial" w:eastAsia="Arial" w:hAnsi="Arial"/>
          <w:b/>
          <w:bCs/>
          <w:color w:val="1E3D2F"/>
          <w:sz w:val="28"/>
          <w:szCs w:val="28"/>
        </w:rPr>
        <w:t xml:space="preserve">10.3 Transaction Feed</w:t>
      </w:r>
    </w:p>
    <w:p>
      <w:pPr>
        <w:pStyle w:val="ListParagraph"/>
        <w:numPr>
          <w:ilvl w:val="0"/>
          <w:numId w:val="2"/>
        </w:numPr>
        <w:spacing w:after="40" w:before="40"/>
      </w:pPr>
      <w:r>
        <w:rPr>
          <w:rFonts w:ascii="Arial" w:cs="Arial" w:eastAsia="Arial" w:hAnsi="Arial"/>
          <w:b w:val="false"/>
          <w:bCs w:val="false"/>
          <w:sz w:val="22"/>
          <w:szCs w:val="22"/>
        </w:rPr>
        <w:t xml:space="preserve">Chronological list of verified transactions funded by this funder</w:t>
      </w:r>
    </w:p>
    <w:p>
      <w:pPr>
        <w:pStyle w:val="ListParagraph"/>
        <w:numPr>
          <w:ilvl w:val="0"/>
          <w:numId w:val="2"/>
        </w:numPr>
        <w:spacing w:after="40" w:before="40"/>
      </w:pPr>
      <w:r>
        <w:rPr>
          <w:rFonts w:ascii="Arial" w:cs="Arial" w:eastAsia="Arial" w:hAnsi="Arial"/>
          <w:b w:val="false"/>
          <w:bCs w:val="false"/>
          <w:sz w:val="22"/>
          <w:szCs w:val="22"/>
        </w:rPr>
        <w:t xml:space="preserve">Each entry: date, category, amount, family cohort (anonymized), funder attribution</w:t>
      </w:r>
    </w:p>
    <w:p>
      <w:pPr>
        <w:pStyle w:val="ListParagraph"/>
        <w:numPr>
          <w:ilvl w:val="0"/>
          <w:numId w:val="2"/>
        </w:numPr>
        <w:spacing w:after="40" w:before="40"/>
      </w:pPr>
      <w:r>
        <w:rPr>
          <w:rFonts w:ascii="Arial" w:cs="Arial" w:eastAsia="Arial" w:hAnsi="Arial"/>
          <w:b w:val="false"/>
          <w:bCs w:val="false"/>
          <w:sz w:val="22"/>
          <w:szCs w:val="22"/>
        </w:rPr>
        <w:t xml:space="preserve">Filterable by date range, sector, geography. Exportable as CSV.</w:t>
      </w:r>
    </w:p>
    <w:p>
      <w:pPr>
        <w:spacing w:after="80" w:before="80"/>
      </w:pPr>
      <w:r>
        <w:rPr>
          <w:rFonts w:ascii="Arial" w:cs="Arial" w:eastAsia="Arial" w:hAnsi="Arial"/>
          <w:sz w:val="22"/>
          <w:szCs w:val="22"/>
        </w:rPr>
        <w:t xml:space="preserve"/>
      </w:r>
    </w:p>
    <w:p>
      <w:pPr>
        <w:pStyle w:val="Heading2"/>
        <w:spacing w:after="100" w:before="280"/>
      </w:pPr>
      <w:r>
        <w:rPr>
          <w:rFonts w:ascii="Arial" w:cs="Arial" w:eastAsia="Arial" w:hAnsi="Arial"/>
          <w:b/>
          <w:bCs/>
          <w:color w:val="1E3D2F"/>
          <w:sz w:val="28"/>
          <w:szCs w:val="28"/>
        </w:rPr>
        <w:t xml:space="preserve">10.4 Impact Reports</w:t>
      </w:r>
    </w:p>
    <w:p>
      <w:pPr>
        <w:pStyle w:val="ListParagraph"/>
        <w:numPr>
          <w:ilvl w:val="0"/>
          <w:numId w:val="2"/>
        </w:numPr>
        <w:spacing w:after="40" w:before="40"/>
      </w:pPr>
      <w:r>
        <w:rPr>
          <w:rFonts w:ascii="Arial" w:cs="Arial" w:eastAsia="Arial" w:hAnsi="Arial"/>
          <w:b w:val="false"/>
          <w:bCs w:val="false"/>
          <w:sz w:val="22"/>
          <w:szCs w:val="22"/>
        </w:rPr>
        <w:t xml:space="preserve">Quarterly auto-generated PDF, delivered by email and available in portal</w:t>
      </w:r>
    </w:p>
    <w:p>
      <w:pPr>
        <w:pStyle w:val="ListParagraph"/>
        <w:numPr>
          <w:ilvl w:val="0"/>
          <w:numId w:val="2"/>
        </w:numPr>
        <w:spacing w:after="40" w:before="40"/>
      </w:pPr>
      <w:r>
        <w:rPr>
          <w:rFonts w:ascii="Arial" w:cs="Arial" w:eastAsia="Arial" w:hAnsi="Arial"/>
          <w:b w:val="false"/>
          <w:bCs w:val="false"/>
          <w:sz w:val="22"/>
          <w:szCs w:val="22"/>
        </w:rPr>
        <w:t xml:space="preserve">Annual summary with full transaction history and outcome highlights</w:t>
      </w:r>
    </w:p>
    <w:p>
      <w:pPr>
        <w:pStyle w:val="ListParagraph"/>
        <w:numPr>
          <w:ilvl w:val="0"/>
          <w:numId w:val="2"/>
        </w:numPr>
        <w:spacing w:after="40" w:before="40"/>
      </w:pPr>
      <w:r>
        <w:rPr>
          <w:rFonts w:ascii="Arial" w:cs="Arial" w:eastAsia="Arial" w:hAnsi="Arial"/>
          <w:b w:val="false"/>
          <w:bCs w:val="false"/>
          <w:sz w:val="22"/>
          <w:szCs w:val="22"/>
        </w:rPr>
        <w:t xml:space="preserve">Custom reports for $50k+ program donors and institutional grant partners</w:t>
      </w:r>
    </w:p>
    <w:p>
      <w:pPr>
        <w:pStyle w:val="ListParagraph"/>
        <w:numPr>
          <w:ilvl w:val="0"/>
          <w:numId w:val="2"/>
        </w:numPr>
        <w:spacing w:after="40" w:before="40"/>
      </w:pPr>
      <w:r>
        <w:rPr>
          <w:rFonts w:ascii="Arial" w:cs="Arial" w:eastAsia="Arial" w:hAnsi="Arial"/>
          <w:b w:val="false"/>
          <w:bCs w:val="false"/>
          <w:sz w:val="22"/>
          <w:szCs w:val="22"/>
        </w:rPr>
        <w:t xml:space="preserve">All reports audit-ready and suitable for IRS, SAMHSA, DHCS, and philanthropic grantmaker compliance</w:t>
      </w:r>
    </w:p>
    <w:p>
      <w:pPr>
        <w:pBdr>
          <w:bottom w:val="single" w:color="CCCCCC" w:sz="4" w:space="1"/>
        </w:pBdr>
        <w:spacing w:after="160" w:before="160"/>
      </w:pPr>
    </w:p>
    <w:p>
      <w:pPr>
        <w:pStyle w:val="Heading1"/>
        <w:spacing w:after="120" w:before="360"/>
      </w:pPr>
      <w:r>
        <w:rPr>
          <w:rFonts w:ascii="Arial" w:cs="Arial" w:eastAsia="Arial" w:hAnsi="Arial"/>
          <w:b/>
          <w:bCs/>
          <w:color w:val="1E3D2F"/>
          <w:sz w:val="36"/>
          <w:szCs w:val="36"/>
        </w:rPr>
        <w:t xml:space="preserve">11. Payment and Funds Infrastructure</w:t>
      </w:r>
    </w:p>
    <w:p>
      <w:pPr>
        <w:spacing w:after="80" w:before="80"/>
      </w:pPr>
      <w:r>
        <w:rPr>
          <w:rFonts w:ascii="Arial" w:cs="Arial" w:eastAsia="Arial" w:hAnsi="Arial"/>
          <w:sz w:val="22"/>
          <w:szCs w:val="22"/>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7360"/>
      </w:tblGrid>
      <w:tr>
        <w:tc>
          <w:tcPr>
            <w:tcW w:type="dxa" w:w="2000"/>
            <w:tcBorders>
              <w:top w:val="single" w:color="CCCCCC" w:sz="1"/>
              <w:left w:val="single" w:color="CCCCCC" w:sz="1"/>
              <w:bottom w:val="single" w:color="CCCCCC" w:sz="1"/>
              <w:right w:val="single" w:color="CCCCCC" w:sz="1"/>
            </w:tcBorders>
            <w:shd w:fill="E8F0EC" w:val="clear"/>
            <w:tcMar>
              <w:top w:type="dxa" w:w="80"/>
              <w:left w:type="dxa" w:w="120"/>
              <w:bottom w:type="dxa" w:w="80"/>
              <w:right w:type="dxa" w:w="120"/>
            </w:tcMar>
          </w:tcPr>
          <w:p>
            <w:r>
              <w:rPr>
                <w:rFonts w:ascii="Arial" w:cs="Arial" w:eastAsia="Arial" w:hAnsi="Arial"/>
                <w:b/>
                <w:bCs/>
                <w:sz w:val="20"/>
                <w:szCs w:val="20"/>
              </w:rPr>
              <w:t xml:space="preserve">Payment processor</w:t>
            </w:r>
          </w:p>
        </w:tc>
        <w:tc>
          <w:tcPr>
            <w:tcW w:type="dxa" w:w="7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Stripe</w:t>
            </w:r>
          </w:p>
        </w:tc>
      </w:tr>
      <w:tr>
        <w:tc>
          <w:tcPr>
            <w:tcW w:type="dxa" w:w="2000"/>
            <w:tcBorders>
              <w:top w:val="single" w:color="CCCCCC" w:sz="1"/>
              <w:left w:val="single" w:color="CCCCCC" w:sz="1"/>
              <w:bottom w:val="single" w:color="CCCCCC" w:sz="1"/>
              <w:right w:val="single" w:color="CCCCCC" w:sz="1"/>
            </w:tcBorders>
            <w:shd w:fill="E8F0EC" w:val="clear"/>
            <w:tcMar>
              <w:top w:type="dxa" w:w="80"/>
              <w:left w:type="dxa" w:w="120"/>
              <w:bottom w:type="dxa" w:w="80"/>
              <w:right w:type="dxa" w:w="120"/>
            </w:tcMar>
          </w:tcPr>
          <w:p>
            <w:r>
              <w:rPr>
                <w:rFonts w:ascii="Arial" w:cs="Arial" w:eastAsia="Arial" w:hAnsi="Arial"/>
                <w:b/>
                <w:bCs/>
                <w:sz w:val="20"/>
                <w:szCs w:val="20"/>
              </w:rPr>
              <w:t xml:space="preserve">Donor funds</w:t>
            </w:r>
          </w:p>
        </w:tc>
        <w:tc>
          <w:tcPr>
            <w:tcW w:type="dxa" w:w="7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Each donor’s capital held in individual Stripe accounts within DCG. Funds are not commingled.</w:t>
            </w:r>
          </w:p>
        </w:tc>
      </w:tr>
      <w:tr>
        <w:tc>
          <w:tcPr>
            <w:tcW w:type="dxa" w:w="2000"/>
            <w:tcBorders>
              <w:top w:val="single" w:color="CCCCCC" w:sz="1"/>
              <w:left w:val="single" w:color="CCCCCC" w:sz="1"/>
              <w:bottom w:val="single" w:color="CCCCCC" w:sz="1"/>
              <w:right w:val="single" w:color="CCCCCC" w:sz="1"/>
            </w:tcBorders>
            <w:shd w:fill="E8F0EC" w:val="clear"/>
            <w:tcMar>
              <w:top w:type="dxa" w:w="80"/>
              <w:left w:type="dxa" w:w="120"/>
              <w:bottom w:type="dxa" w:w="80"/>
              <w:right w:type="dxa" w:w="120"/>
            </w:tcMar>
          </w:tcPr>
          <w:p>
            <w:r>
              <w:rPr>
                <w:rFonts w:ascii="Arial" w:cs="Arial" w:eastAsia="Arial" w:hAnsi="Arial"/>
                <w:b/>
                <w:bCs/>
                <w:sz w:val="20"/>
                <w:szCs w:val="20"/>
              </w:rPr>
              <w:t xml:space="preserve">DAF integration</w:t>
            </w:r>
          </w:p>
        </w:tc>
        <w:tc>
          <w:tcPr>
            <w:tcW w:type="dxa" w:w="7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Chariot/DAFpay. Grant recommendations flow from donor’s DAF sponsor directly to DCG. Fidelity Charitable, Schwab Charitable, Vanguard Charitable, and other major sponsors supported.</w:t>
            </w:r>
          </w:p>
        </w:tc>
      </w:tr>
      <w:tr>
        <w:tc>
          <w:tcPr>
            <w:tcW w:type="dxa" w:w="2000"/>
            <w:tcBorders>
              <w:top w:val="single" w:color="CCCCCC" w:sz="1"/>
              <w:left w:val="single" w:color="CCCCCC" w:sz="1"/>
              <w:bottom w:val="single" w:color="CCCCCC" w:sz="1"/>
              <w:right w:val="single" w:color="CCCCCC" w:sz="1"/>
            </w:tcBorders>
            <w:shd w:fill="E8F0EC" w:val="clear"/>
            <w:tcMar>
              <w:top w:type="dxa" w:w="80"/>
              <w:left w:type="dxa" w:w="120"/>
              <w:bottom w:type="dxa" w:w="80"/>
              <w:right w:type="dxa" w:w="120"/>
            </w:tcMar>
          </w:tcPr>
          <w:p>
            <w:r>
              <w:rPr>
                <w:rFonts w:ascii="Arial" w:cs="Arial" w:eastAsia="Arial" w:hAnsi="Arial"/>
                <w:b/>
                <w:bCs/>
                <w:sz w:val="20"/>
                <w:szCs w:val="20"/>
              </w:rPr>
              <w:t xml:space="preserve">Round-up / tip</w:t>
            </w:r>
          </w:p>
        </w:tc>
        <w:tc>
          <w:tcPr>
            <w:tcW w:type="dxa" w:w="7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Processed as part of standard Dopple transaction. DCG contribution is a separate line item in the transaction record.</w:t>
            </w:r>
          </w:p>
        </w:tc>
      </w:tr>
      <w:tr>
        <w:tc>
          <w:tcPr>
            <w:tcW w:type="dxa" w:w="2000"/>
            <w:tcBorders>
              <w:top w:val="single" w:color="CCCCCC" w:sz="1"/>
              <w:left w:val="single" w:color="CCCCCC" w:sz="1"/>
              <w:bottom w:val="single" w:color="CCCCCC" w:sz="1"/>
              <w:right w:val="single" w:color="CCCCCC" w:sz="1"/>
            </w:tcBorders>
            <w:shd w:fill="E8F0EC" w:val="clear"/>
            <w:tcMar>
              <w:top w:type="dxa" w:w="80"/>
              <w:left w:type="dxa" w:w="120"/>
              <w:bottom w:type="dxa" w:w="80"/>
              <w:right w:type="dxa" w:w="120"/>
            </w:tcMar>
          </w:tcPr>
          <w:p>
            <w:r>
              <w:rPr>
                <w:rFonts w:ascii="Arial" w:cs="Arial" w:eastAsia="Arial" w:hAnsi="Arial"/>
                <w:b/>
                <w:bCs/>
                <w:sz w:val="20"/>
                <w:szCs w:val="20"/>
              </w:rPr>
              <w:t xml:space="preserve">Receipt trigger</w:t>
            </w:r>
          </w:p>
        </w:tc>
        <w:tc>
          <w:tcPr>
            <w:tcW w:type="dxa" w:w="7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Immediate at transaction completion. Target: under 30 seconds.</w:t>
            </w:r>
          </w:p>
        </w:tc>
      </w:tr>
      <w:tr>
        <w:tc>
          <w:tcPr>
            <w:tcW w:type="dxa" w:w="2000"/>
            <w:tcBorders>
              <w:top w:val="single" w:color="CCCCCC" w:sz="1"/>
              <w:left w:val="single" w:color="CCCCCC" w:sz="1"/>
              <w:bottom w:val="single" w:color="CCCCCC" w:sz="1"/>
              <w:right w:val="single" w:color="CCCCCC" w:sz="1"/>
            </w:tcBorders>
            <w:shd w:fill="E8F0EC" w:val="clear"/>
            <w:tcMar>
              <w:top w:type="dxa" w:w="80"/>
              <w:left w:type="dxa" w:w="120"/>
              <w:bottom w:type="dxa" w:w="80"/>
              <w:right w:type="dxa" w:w="120"/>
            </w:tcMar>
          </w:tcPr>
          <w:p>
            <w:r>
              <w:rPr>
                <w:rFonts w:ascii="Arial" w:cs="Arial" w:eastAsia="Arial" w:hAnsi="Arial"/>
                <w:b/>
                <w:bCs/>
                <w:sz w:val="20"/>
                <w:szCs w:val="20"/>
              </w:rPr>
              <w:t xml:space="preserve">Data sharing</w:t>
            </w:r>
          </w:p>
        </w:tc>
        <w:tc>
          <w:tcPr>
            <w:tcW w:type="dxa" w:w="7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Aggregate only. No PII passes from Dopple for-profit to DCG. Individual transaction data is never shared at the personal level.</w:t>
            </w:r>
          </w:p>
        </w:tc>
      </w:tr>
    </w:tbl>
    <w:p>
      <w:pPr>
        <w:pBdr>
          <w:bottom w:val="single" w:color="CCCCCC" w:sz="4" w:space="1"/>
        </w:pBdr>
        <w:spacing w:after="160" w:before="160"/>
      </w:pPr>
    </w:p>
    <w:p>
      <w:pPr>
        <w:pStyle w:val="Heading1"/>
        <w:spacing w:after="120" w:before="360"/>
      </w:pPr>
      <w:r>
        <w:rPr>
          <w:rFonts w:ascii="Arial" w:cs="Arial" w:eastAsia="Arial" w:hAnsi="Arial"/>
          <w:b/>
          <w:bCs/>
          <w:color w:val="1E3D2F"/>
          <w:sz w:val="36"/>
          <w:szCs w:val="36"/>
        </w:rPr>
        <w:t xml:space="preserve">12. Integration with Dopple Core Engine</w:t>
      </w:r>
    </w:p>
    <w:p>
      <w:pPr>
        <w:spacing w:after="80" w:before="80"/>
      </w:pPr>
      <w:r>
        <w:rPr>
          <w:rFonts w:ascii="Arial" w:cs="Arial" w:eastAsia="Arial" w:hAnsi="Arial"/>
          <w:sz w:val="22"/>
          <w:szCs w:val="22"/>
        </w:rPr>
        <w:t xml:space="preserve"/>
      </w:r>
    </w:p>
    <w:p>
      <w:pPr>
        <w:pStyle w:val="Heading2"/>
        <w:spacing w:after="100" w:before="280"/>
      </w:pPr>
      <w:r>
        <w:rPr>
          <w:rFonts w:ascii="Arial" w:cs="Arial" w:eastAsia="Arial" w:hAnsi="Arial"/>
          <w:b/>
          <w:bCs/>
          <w:color w:val="1E3D2F"/>
          <w:sz w:val="28"/>
          <w:szCs w:val="28"/>
        </w:rPr>
        <w:t xml:space="preserve">12.1 Admin Panel</w:t>
      </w:r>
    </w:p>
    <w:p>
      <w:pPr>
        <w:pStyle w:val="ListParagraph"/>
        <w:numPr>
          <w:ilvl w:val="0"/>
          <w:numId w:val="2"/>
        </w:numPr>
        <w:spacing w:after="40" w:before="40"/>
      </w:pPr>
      <w:r>
        <w:rPr>
          <w:rFonts w:ascii="Arial" w:cs="Arial" w:eastAsia="Arial" w:hAnsi="Arial"/>
          <w:b w:val="false"/>
          <w:bCs w:val="false"/>
          <w:sz w:val="22"/>
          <w:szCs w:val="22"/>
        </w:rPr>
        <w:t xml:space="preserve">All funder accounts visible in Dopple admin</w:t>
      </w:r>
    </w:p>
    <w:p>
      <w:pPr>
        <w:pStyle w:val="ListParagraph"/>
        <w:numPr>
          <w:ilvl w:val="0"/>
          <w:numId w:val="2"/>
        </w:numPr>
        <w:spacing w:after="40" w:before="40"/>
      </w:pPr>
      <w:r>
        <w:rPr>
          <w:rFonts w:ascii="Arial" w:cs="Arial" w:eastAsia="Arial" w:hAnsi="Arial"/>
          <w:b w:val="false"/>
          <w:bCs w:val="false"/>
          <w:sz w:val="22"/>
          <w:szCs w:val="22"/>
        </w:rPr>
        <w:t xml:space="preserve">Parameters enforced by matching engine</w:t>
      </w:r>
    </w:p>
    <w:p>
      <w:pPr>
        <w:pStyle w:val="ListParagraph"/>
        <w:numPr>
          <w:ilvl w:val="0"/>
          <w:numId w:val="2"/>
        </w:numPr>
        <w:spacing w:after="40" w:before="40"/>
      </w:pPr>
      <w:r>
        <w:rPr>
          <w:rFonts w:ascii="Arial" w:cs="Arial" w:eastAsia="Arial" w:hAnsi="Arial"/>
          <w:b w:val="false"/>
          <w:bCs w:val="false"/>
          <w:sz w:val="22"/>
          <w:szCs w:val="22"/>
        </w:rPr>
        <w:t xml:space="preserve">Transaction records include funder attribution automatically</w:t>
      </w:r>
    </w:p>
    <w:p>
      <w:pPr>
        <w:pStyle w:val="ListParagraph"/>
        <w:numPr>
          <w:ilvl w:val="0"/>
          <w:numId w:val="2"/>
        </w:numPr>
        <w:spacing w:after="40" w:before="40"/>
      </w:pPr>
      <w:r>
        <w:rPr>
          <w:rFonts w:ascii="Arial" w:cs="Arial" w:eastAsia="Arial" w:hAnsi="Arial"/>
          <w:b w:val="false"/>
          <w:bCs w:val="false"/>
          <w:sz w:val="22"/>
          <w:szCs w:val="22"/>
        </w:rPr>
        <w:t xml:space="preserve">Admin provisions institutional grant partner accounts</w:t>
      </w:r>
    </w:p>
    <w:p>
      <w:pPr>
        <w:spacing w:after="80" w:before="80"/>
      </w:pPr>
      <w:r>
        <w:rPr>
          <w:rFonts w:ascii="Arial" w:cs="Arial" w:eastAsia="Arial" w:hAnsi="Arial"/>
          <w:sz w:val="22"/>
          <w:szCs w:val="22"/>
        </w:rPr>
        <w:t xml:space="preserve"/>
      </w:r>
    </w:p>
    <w:p>
      <w:pPr>
        <w:pStyle w:val="Heading2"/>
        <w:spacing w:after="100" w:before="280"/>
      </w:pPr>
      <w:r>
        <w:rPr>
          <w:rFonts w:ascii="Arial" w:cs="Arial" w:eastAsia="Arial" w:hAnsi="Arial"/>
          <w:b/>
          <w:bCs/>
          <w:color w:val="1E3D2F"/>
          <w:sz w:val="28"/>
          <w:szCs w:val="28"/>
        </w:rPr>
        <w:t xml:space="preserve">12.2 AI Integration</w:t>
      </w:r>
    </w:p>
    <w:p>
      <w:pPr>
        <w:pStyle w:val="ListParagraph"/>
        <w:numPr>
          <w:ilvl w:val="0"/>
          <w:numId w:val="2"/>
        </w:numPr>
        <w:spacing w:after="40" w:before="40"/>
      </w:pPr>
      <w:r>
        <w:rPr>
          <w:rFonts w:ascii="Arial" w:cs="Arial" w:eastAsia="Arial" w:hAnsi="Arial"/>
          <w:b w:val="false"/>
          <w:bCs w:val="false"/>
          <w:sz w:val="22"/>
          <w:szCs w:val="22"/>
        </w:rPr>
        <w:t xml:space="preserve">Matching engine reads active DCG donor parameters when determining family eligibility</w:t>
      </w:r>
    </w:p>
    <w:p>
      <w:pPr>
        <w:pStyle w:val="ListParagraph"/>
        <w:numPr>
          <w:ilvl w:val="0"/>
          <w:numId w:val="2"/>
        </w:numPr>
        <w:spacing w:after="40" w:before="40"/>
      </w:pPr>
      <w:r>
        <w:rPr>
          <w:rFonts w:ascii="Arial" w:cs="Arial" w:eastAsia="Arial" w:hAnsi="Arial"/>
          <w:b w:val="false"/>
          <w:bCs w:val="false"/>
          <w:sz w:val="22"/>
          <w:szCs w:val="22"/>
        </w:rPr>
        <w:t xml:space="preserve">AI surfaces eligibility at checkout: “You qualify for $X in Dopple Community Gifting matching dollars”</w:t>
      </w:r>
    </w:p>
    <w:p>
      <w:pPr>
        <w:pStyle w:val="ListParagraph"/>
        <w:numPr>
          <w:ilvl w:val="0"/>
          <w:numId w:val="2"/>
        </w:numPr>
        <w:spacing w:after="40" w:before="40"/>
      </w:pPr>
      <w:r>
        <w:rPr>
          <w:rFonts w:ascii="Arial" w:cs="Arial" w:eastAsia="Arial" w:hAnsi="Arial"/>
          <w:b w:val="false"/>
          <w:bCs w:val="false"/>
          <w:sz w:val="22"/>
          <w:szCs w:val="22"/>
        </w:rPr>
        <w:t xml:space="preserve">AI generates narrative summaries for donor impact reports</w:t>
      </w:r>
    </w:p>
    <w:p>
      <w:pPr>
        <w:spacing w:after="80" w:before="80"/>
      </w:pPr>
      <w:r>
        <w:rPr>
          <w:rFonts w:ascii="Arial" w:cs="Arial" w:eastAsia="Arial" w:hAnsi="Arial"/>
          <w:sz w:val="22"/>
          <w:szCs w:val="22"/>
        </w:rPr>
        <w:t xml:space="preserve"/>
      </w:r>
    </w:p>
    <w:p>
      <w:pPr>
        <w:pStyle w:val="Heading2"/>
        <w:spacing w:after="100" w:before="280"/>
      </w:pPr>
      <w:r>
        <w:rPr>
          <w:rFonts w:ascii="Arial" w:cs="Arial" w:eastAsia="Arial" w:hAnsi="Arial"/>
          <w:b/>
          <w:bCs/>
          <w:color w:val="1E3D2F"/>
          <w:sz w:val="28"/>
          <w:szCs w:val="28"/>
        </w:rPr>
        <w:t xml:space="preserve">12.3 Data Privacy</w:t>
      </w:r>
    </w:p>
    <w:p>
      <w:pPr>
        <w:pStyle w:val="ListParagraph"/>
        <w:numPr>
          <w:ilvl w:val="0"/>
          <w:numId w:val="2"/>
        </w:numPr>
        <w:spacing w:after="40" w:before="40"/>
      </w:pPr>
      <w:r>
        <w:rPr>
          <w:rFonts w:ascii="Arial" w:cs="Arial" w:eastAsia="Arial" w:hAnsi="Arial"/>
          <w:b w:val="false"/>
          <w:bCs w:val="false"/>
          <w:sz w:val="22"/>
          <w:szCs w:val="22"/>
        </w:rPr>
        <w:t xml:space="preserve">All donor-facing reporting is aggregate. No individual family data displayed.</w:t>
      </w:r>
    </w:p>
    <w:p>
      <w:pPr>
        <w:pStyle w:val="ListParagraph"/>
        <w:numPr>
          <w:ilvl w:val="0"/>
          <w:numId w:val="2"/>
        </w:numPr>
        <w:spacing w:after="40" w:before="40"/>
      </w:pPr>
      <w:r>
        <w:rPr>
          <w:rFonts w:ascii="Arial" w:cs="Arial" w:eastAsia="Arial" w:hAnsi="Arial"/>
          <w:b w:val="false"/>
          <w:bCs w:val="false"/>
          <w:sz w:val="22"/>
          <w:szCs w:val="22"/>
        </w:rPr>
        <w:t xml:space="preserve">No PII passes from Dopple for-profit to DCG.</w:t>
      </w:r>
    </w:p>
    <w:p>
      <w:pPr>
        <w:pStyle w:val="ListParagraph"/>
        <w:numPr>
          <w:ilvl w:val="0"/>
          <w:numId w:val="2"/>
        </w:numPr>
        <w:spacing w:after="40" w:before="40"/>
      </w:pPr>
      <w:r>
        <w:rPr>
          <w:rFonts w:ascii="Arial" w:cs="Arial" w:eastAsia="Arial" w:hAnsi="Arial"/>
          <w:b w:val="false"/>
          <w:bCs w:val="false"/>
          <w:sz w:val="22"/>
          <w:szCs w:val="22"/>
        </w:rPr>
        <w:t xml:space="preserve">HIPAA compliance required for cohorts including behavioral health participants (e.g., Pacific Clinics).</w:t>
      </w:r>
    </w:p>
    <w:p>
      <w:pPr>
        <w:pStyle w:val="ListParagraph"/>
        <w:numPr>
          <w:ilvl w:val="0"/>
          <w:numId w:val="2"/>
        </w:numPr>
        <w:spacing w:after="40" w:before="40"/>
      </w:pPr>
      <w:r>
        <w:rPr>
          <w:rFonts w:ascii="Arial" w:cs="Arial" w:eastAsia="Arial" w:hAnsi="Arial"/>
          <w:b w:val="false"/>
          <w:bCs w:val="false"/>
          <w:sz w:val="22"/>
          <w:szCs w:val="22"/>
        </w:rPr>
        <w:t xml:space="preserve">Donor parameters stored securely and never shared across accounts.</w:t>
      </w:r>
    </w:p>
    <w:p>
      <w:pPr>
        <w:pBdr>
          <w:bottom w:val="single" w:color="CCCCCC" w:sz="4" w:space="1"/>
        </w:pBdr>
        <w:spacing w:after="160" w:before="160"/>
      </w:pPr>
    </w:p>
    <w:p>
      <w:pPr>
        <w:pStyle w:val="Heading1"/>
        <w:spacing w:after="120" w:before="360"/>
      </w:pPr>
      <w:r>
        <w:rPr>
          <w:rFonts w:ascii="Arial" w:cs="Arial" w:eastAsia="Arial" w:hAnsi="Arial"/>
          <w:b/>
          <w:bCs/>
          <w:color w:val="1E3D2F"/>
          <w:sz w:val="36"/>
          <w:szCs w:val="36"/>
        </w:rPr>
        <w:t xml:space="preserve">13. MVP Scope — Medium T-Shirt</w:t>
      </w:r>
    </w:p>
    <w:p>
      <w:pPr>
        <w:spacing w:after="80" w:before="80"/>
      </w:pPr>
      <w:r>
        <w:rPr>
          <w:rFonts w:ascii="Arial" w:cs="Arial" w:eastAsia="Arial" w:hAnsi="Arial"/>
          <w:sz w:val="22"/>
          <w:szCs w:val="22"/>
        </w:rPr>
        <w:t xml:space="preserve"/>
      </w:r>
    </w:p>
    <w:p>
      <w:pPr>
        <w:pStyle w:val="Heading2"/>
        <w:spacing w:after="100" w:before="280"/>
      </w:pPr>
      <w:r>
        <w:rPr>
          <w:rFonts w:ascii="Arial" w:cs="Arial" w:eastAsia="Arial" w:hAnsi="Arial"/>
          <w:b/>
          <w:bCs/>
          <w:color w:val="1E3D2F"/>
          <w:sz w:val="28"/>
          <w:szCs w:val="28"/>
        </w:rPr>
        <w:t xml:space="preserve">Must Have</w:t>
      </w:r>
    </w:p>
    <w:p>
      <w:pPr>
        <w:pStyle w:val="ListParagraph"/>
        <w:numPr>
          <w:ilvl w:val="0"/>
          <w:numId w:val="2"/>
        </w:numPr>
        <w:spacing w:after="40" w:before="40"/>
      </w:pPr>
      <w:r>
        <w:rPr>
          <w:rFonts w:ascii="Arial" w:cs="Arial" w:eastAsia="Arial" w:hAnsi="Arial"/>
          <w:b w:val="false"/>
          <w:bCs w:val="false"/>
          <w:sz w:val="22"/>
          <w:szCs w:val="22"/>
        </w:rPr>
        <w:t xml:space="preserve">Round-up at checkout — default on every transaction, toggle off per transaction</w:t>
      </w:r>
    </w:p>
    <w:p>
      <w:pPr>
        <w:pStyle w:val="ListParagraph"/>
        <w:numPr>
          <w:ilvl w:val="0"/>
          <w:numId w:val="2"/>
        </w:numPr>
        <w:spacing w:after="40" w:before="40"/>
      </w:pPr>
      <w:r>
        <w:rPr>
          <w:rFonts w:ascii="Arial" w:cs="Arial" w:eastAsia="Arial" w:hAnsi="Arial"/>
          <w:b w:val="false"/>
          <w:bCs w:val="false"/>
          <w:sz w:val="22"/>
          <w:szCs w:val="22"/>
        </w:rPr>
        <w:t xml:space="preserve">Tip at checkout — $3 / $5 / $10 / Other, default $3</w:t>
      </w:r>
    </w:p>
    <w:p>
      <w:pPr>
        <w:pStyle w:val="ListParagraph"/>
        <w:numPr>
          <w:ilvl w:val="0"/>
          <w:numId w:val="2"/>
        </w:numPr>
        <w:spacing w:after="40" w:before="40"/>
      </w:pPr>
      <w:r>
        <w:rPr>
          <w:rFonts w:ascii="Arial" w:cs="Arial" w:eastAsia="Arial" w:hAnsi="Arial"/>
          <w:b w:val="false"/>
          <w:bCs w:val="false"/>
          <w:sz w:val="22"/>
          <w:szCs w:val="22"/>
        </w:rPr>
        <w:t xml:space="preserve">Immediate tax receipt by email for round-up and tip</w:t>
      </w:r>
    </w:p>
    <w:p>
      <w:pPr>
        <w:pStyle w:val="ListParagraph"/>
        <w:numPr>
          <w:ilvl w:val="0"/>
          <w:numId w:val="2"/>
        </w:numPr>
        <w:spacing w:after="40" w:before="40"/>
      </w:pPr>
      <w:r>
        <w:rPr>
          <w:rFonts w:ascii="Arial" w:cs="Arial" w:eastAsia="Arial" w:hAnsi="Arial"/>
          <w:b w:val="false"/>
          <w:bCs w:val="false"/>
          <w:sz w:val="22"/>
          <w:szCs w:val="22"/>
        </w:rPr>
        <w:t xml:space="preserve">Public homepage</w:t>
      </w:r>
    </w:p>
    <w:p>
      <w:pPr>
        <w:pStyle w:val="ListParagraph"/>
        <w:numPr>
          <w:ilvl w:val="0"/>
          <w:numId w:val="2"/>
        </w:numPr>
        <w:spacing w:after="40" w:before="40"/>
      </w:pPr>
      <w:r>
        <w:rPr>
          <w:rFonts w:ascii="Arial" w:cs="Arial" w:eastAsia="Arial" w:hAnsi="Arial"/>
          <w:b w:val="false"/>
          <w:bCs w:val="false"/>
          <w:sz w:val="22"/>
          <w:szCs w:val="22"/>
        </w:rPr>
        <w:t xml:space="preserve">Individual donor account creation and Stripe payment integration</w:t>
      </w:r>
    </w:p>
    <w:p>
      <w:pPr>
        <w:pStyle w:val="ListParagraph"/>
        <w:numPr>
          <w:ilvl w:val="0"/>
          <w:numId w:val="2"/>
        </w:numPr>
        <w:spacing w:after="40" w:before="40"/>
      </w:pPr>
      <w:r>
        <w:rPr>
          <w:rFonts w:ascii="Arial" w:cs="Arial" w:eastAsia="Arial" w:hAnsi="Arial"/>
          <w:b w:val="false"/>
          <w:bCs w:val="false"/>
          <w:sz w:val="22"/>
          <w:szCs w:val="22"/>
        </w:rPr>
        <w:t xml:space="preserve">DAF / Foundation account creation with EIN and Chariot/DAFpay integration</w:t>
      </w:r>
    </w:p>
    <w:p>
      <w:pPr>
        <w:pStyle w:val="ListParagraph"/>
        <w:numPr>
          <w:ilvl w:val="0"/>
          <w:numId w:val="2"/>
        </w:numPr>
        <w:spacing w:after="40" w:before="40"/>
      </w:pPr>
      <w:r>
        <w:rPr>
          <w:rFonts w:ascii="Arial" w:cs="Arial" w:eastAsia="Arial" w:hAnsi="Arial"/>
          <w:b w:val="false"/>
          <w:bCs w:val="false"/>
          <w:sz w:val="22"/>
          <w:szCs w:val="22"/>
        </w:rPr>
        <w:t xml:space="preserve">Giving parameter configuration (geo, sector, income, demographic)</w:t>
      </w:r>
    </w:p>
    <w:p>
      <w:pPr>
        <w:pStyle w:val="ListParagraph"/>
        <w:numPr>
          <w:ilvl w:val="0"/>
          <w:numId w:val="2"/>
        </w:numPr>
        <w:spacing w:after="40" w:before="40"/>
      </w:pPr>
      <w:r>
        <w:rPr>
          <w:rFonts w:ascii="Arial" w:cs="Arial" w:eastAsia="Arial" w:hAnsi="Arial"/>
          <w:b w:val="false"/>
          <w:bCs w:val="false"/>
          <w:sz w:val="22"/>
          <w:szCs w:val="22"/>
        </w:rPr>
        <w:t xml:space="preserve">Unified reporting dashboard: deployed, families reached, sector breakdown, transaction feed</w:t>
      </w:r>
    </w:p>
    <w:p>
      <w:pPr>
        <w:pStyle w:val="ListParagraph"/>
        <w:numPr>
          <w:ilvl w:val="0"/>
          <w:numId w:val="2"/>
        </w:numPr>
        <w:spacing w:after="40" w:before="40"/>
      </w:pPr>
      <w:r>
        <w:rPr>
          <w:rFonts w:ascii="Arial" w:cs="Arial" w:eastAsia="Arial" w:hAnsi="Arial"/>
          <w:b w:val="false"/>
          <w:bCs w:val="false"/>
          <w:sz w:val="22"/>
          <w:szCs w:val="22"/>
        </w:rPr>
        <w:t xml:space="preserve">Quarterly PDF impact report (auto-generated)</w:t>
      </w:r>
    </w:p>
    <w:p>
      <w:pPr>
        <w:pStyle w:val="ListParagraph"/>
        <w:numPr>
          <w:ilvl w:val="0"/>
          <w:numId w:val="2"/>
        </w:numPr>
        <w:spacing w:after="40" w:before="40"/>
      </w:pPr>
      <w:r>
        <w:rPr>
          <w:rFonts w:ascii="Arial" w:cs="Arial" w:eastAsia="Arial" w:hAnsi="Arial"/>
          <w:b w:val="false"/>
          <w:bCs w:val="false"/>
          <w:sz w:val="22"/>
          <w:szCs w:val="22"/>
        </w:rPr>
        <w:t xml:space="preserve">Dopple admin provisioning for institutional grant partners</w:t>
      </w:r>
    </w:p>
    <w:p>
      <w:pPr>
        <w:pStyle w:val="ListParagraph"/>
        <w:numPr>
          <w:ilvl w:val="0"/>
          <w:numId w:val="2"/>
        </w:numPr>
        <w:spacing w:after="40" w:before="40"/>
      </w:pPr>
      <w:r>
        <w:rPr>
          <w:rFonts w:ascii="Arial" w:cs="Arial" w:eastAsia="Arial" w:hAnsi="Arial"/>
          <w:b w:val="false"/>
          <w:bCs w:val="false"/>
          <w:sz w:val="22"/>
          <w:szCs w:val="22"/>
        </w:rPr>
        <w:t xml:space="preserve">AI eligibility messaging at family checkout</w:t>
      </w:r>
    </w:p>
    <w:p>
      <w:pPr>
        <w:spacing w:after="80" w:before="80"/>
      </w:pPr>
      <w:r>
        <w:rPr>
          <w:rFonts w:ascii="Arial" w:cs="Arial" w:eastAsia="Arial" w:hAnsi="Arial"/>
          <w:sz w:val="22"/>
          <w:szCs w:val="22"/>
        </w:rPr>
        <w:t xml:space="preserve"/>
      </w:r>
    </w:p>
    <w:p>
      <w:pPr>
        <w:pStyle w:val="Heading2"/>
        <w:spacing w:after="100" w:before="280"/>
      </w:pPr>
      <w:r>
        <w:rPr>
          <w:rFonts w:ascii="Arial" w:cs="Arial" w:eastAsia="Arial" w:hAnsi="Arial"/>
          <w:b/>
          <w:bCs/>
          <w:color w:val="1E3D2F"/>
          <w:sz w:val="28"/>
          <w:szCs w:val="28"/>
        </w:rPr>
        <w:t xml:space="preserve">Should Have (V1.1)</w:t>
      </w:r>
    </w:p>
    <w:p>
      <w:pPr>
        <w:pStyle w:val="ListParagraph"/>
        <w:numPr>
          <w:ilvl w:val="0"/>
          <w:numId w:val="2"/>
        </w:numPr>
        <w:spacing w:after="40" w:before="40"/>
      </w:pPr>
      <w:r>
        <w:rPr>
          <w:rFonts w:ascii="Arial" w:cs="Arial" w:eastAsia="Arial" w:hAnsi="Arial"/>
          <w:b w:val="false"/>
          <w:bCs w:val="false"/>
          <w:sz w:val="22"/>
          <w:szCs w:val="22"/>
        </w:rPr>
        <w:t xml:space="preserve">Named custom programs ($50k+ tier)</w:t>
      </w:r>
    </w:p>
    <w:p>
      <w:pPr>
        <w:pStyle w:val="ListParagraph"/>
        <w:numPr>
          <w:ilvl w:val="0"/>
          <w:numId w:val="2"/>
        </w:numPr>
        <w:spacing w:after="40" w:before="40"/>
      </w:pPr>
      <w:r>
        <w:rPr>
          <w:rFonts w:ascii="Arial" w:cs="Arial" w:eastAsia="Arial" w:hAnsi="Arial"/>
          <w:b w:val="false"/>
          <w:bCs w:val="false"/>
          <w:sz w:val="22"/>
          <w:szCs w:val="22"/>
        </w:rPr>
        <w:t xml:space="preserve">Geographic distribution map</w:t>
      </w:r>
    </w:p>
    <w:p>
      <w:pPr>
        <w:pStyle w:val="ListParagraph"/>
        <w:numPr>
          <w:ilvl w:val="0"/>
          <w:numId w:val="2"/>
        </w:numPr>
        <w:spacing w:after="40" w:before="40"/>
      </w:pPr>
      <w:r>
        <w:rPr>
          <w:rFonts w:ascii="Arial" w:cs="Arial" w:eastAsia="Arial" w:hAnsi="Arial"/>
          <w:b w:val="false"/>
          <w:bCs w:val="false"/>
          <w:sz w:val="22"/>
          <w:szCs w:val="22"/>
        </w:rPr>
        <w:t xml:space="preserve">Exportable CSV</w:t>
      </w:r>
    </w:p>
    <w:p>
      <w:pPr>
        <w:pStyle w:val="ListParagraph"/>
        <w:numPr>
          <w:ilvl w:val="0"/>
          <w:numId w:val="2"/>
        </w:numPr>
        <w:spacing w:after="40" w:before="40"/>
      </w:pPr>
      <w:r>
        <w:rPr>
          <w:rFonts w:ascii="Arial" w:cs="Arial" w:eastAsia="Arial" w:hAnsi="Arial"/>
          <w:b w:val="false"/>
          <w:bCs w:val="false"/>
          <w:sz w:val="22"/>
          <w:szCs w:val="22"/>
        </w:rPr>
        <w:t xml:space="preserve">Annual summary report</w:t>
      </w:r>
    </w:p>
    <w:p>
      <w:pPr>
        <w:pStyle w:val="ListParagraph"/>
        <w:numPr>
          <w:ilvl w:val="0"/>
          <w:numId w:val="2"/>
        </w:numPr>
        <w:spacing w:after="40" w:before="40"/>
      </w:pPr>
      <w:r>
        <w:rPr>
          <w:rFonts w:ascii="Arial" w:cs="Arial" w:eastAsia="Arial" w:hAnsi="Arial"/>
          <w:b w:val="false"/>
          <w:bCs w:val="false"/>
          <w:sz w:val="22"/>
          <w:szCs w:val="22"/>
        </w:rPr>
        <w:t xml:space="preserve">Standing round-up opt-out in family account settings</w:t>
      </w:r>
    </w:p>
    <w:p>
      <w:pPr>
        <w:pStyle w:val="ListParagraph"/>
        <w:numPr>
          <w:ilvl w:val="0"/>
          <w:numId w:val="2"/>
        </w:numPr>
        <w:spacing w:after="40" w:before="40"/>
      </w:pPr>
      <w:r>
        <w:rPr>
          <w:rFonts w:ascii="Arial" w:cs="Arial" w:eastAsia="Arial" w:hAnsi="Arial"/>
          <w:b w:val="false"/>
          <w:bCs w:val="false"/>
          <w:sz w:val="22"/>
          <w:szCs w:val="22"/>
        </w:rPr>
        <w:t xml:space="preserve">Donor acquisition CTA in tax receipt email</w:t>
      </w:r>
    </w:p>
    <w:p>
      <w:pPr>
        <w:spacing w:after="80" w:before="80"/>
      </w:pPr>
      <w:r>
        <w:rPr>
          <w:rFonts w:ascii="Arial" w:cs="Arial" w:eastAsia="Arial" w:hAnsi="Arial"/>
          <w:sz w:val="22"/>
          <w:szCs w:val="22"/>
        </w:rPr>
        <w:t xml:space="preserve"/>
      </w:r>
    </w:p>
    <w:p>
      <w:pPr>
        <w:pStyle w:val="Heading2"/>
        <w:spacing w:after="100" w:before="280"/>
      </w:pPr>
      <w:r>
        <w:rPr>
          <w:rFonts w:ascii="Arial" w:cs="Arial" w:eastAsia="Arial" w:hAnsi="Arial"/>
          <w:b/>
          <w:bCs/>
          <w:color w:val="1E3D2F"/>
          <w:sz w:val="28"/>
          <w:szCs w:val="28"/>
        </w:rPr>
        <w:t xml:space="preserve">Nice to Have (V2)</w:t>
      </w:r>
    </w:p>
    <w:p>
      <w:pPr>
        <w:pStyle w:val="ListParagraph"/>
        <w:numPr>
          <w:ilvl w:val="0"/>
          <w:numId w:val="2"/>
        </w:numPr>
        <w:spacing w:after="40" w:before="40"/>
      </w:pPr>
      <w:r>
        <w:rPr>
          <w:rFonts w:ascii="Arial" w:cs="Arial" w:eastAsia="Arial" w:hAnsi="Arial"/>
          <w:b w:val="false"/>
          <w:bCs w:val="false"/>
          <w:sz w:val="22"/>
          <w:szCs w:val="22"/>
        </w:rPr>
        <w:t xml:space="preserve">Direct DAF sponsor API integrations beyond Chariot/DAFpay</w:t>
      </w:r>
    </w:p>
    <w:p>
      <w:pPr>
        <w:pStyle w:val="ListParagraph"/>
        <w:numPr>
          <w:ilvl w:val="0"/>
          <w:numId w:val="2"/>
        </w:numPr>
        <w:spacing w:after="40" w:before="40"/>
      </w:pPr>
      <w:r>
        <w:rPr>
          <w:rFonts w:ascii="Arial" w:cs="Arial" w:eastAsia="Arial" w:hAnsi="Arial"/>
          <w:b w:val="false"/>
          <w:bCs w:val="false"/>
          <w:sz w:val="22"/>
          <w:szCs w:val="22"/>
        </w:rPr>
        <w:t xml:space="preserve">Multi-user access for foundation program officers</w:t>
      </w:r>
    </w:p>
    <w:p>
      <w:pPr>
        <w:pStyle w:val="ListParagraph"/>
        <w:numPr>
          <w:ilvl w:val="0"/>
          <w:numId w:val="2"/>
        </w:numPr>
        <w:spacing w:after="40" w:before="40"/>
      </w:pPr>
      <w:r>
        <w:rPr>
          <w:rFonts w:ascii="Arial" w:cs="Arial" w:eastAsia="Arial" w:hAnsi="Arial"/>
          <w:b w:val="false"/>
          <w:bCs w:val="false"/>
          <w:sz w:val="22"/>
          <w:szCs w:val="22"/>
        </w:rPr>
        <w:t xml:space="preserve">SSO for institutional partners</w:t>
      </w:r>
    </w:p>
    <w:p>
      <w:pPr>
        <w:pStyle w:val="ListParagraph"/>
        <w:numPr>
          <w:ilvl w:val="0"/>
          <w:numId w:val="2"/>
        </w:numPr>
        <w:spacing w:after="40" w:before="40"/>
      </w:pPr>
      <w:r>
        <w:rPr>
          <w:rFonts w:ascii="Arial" w:cs="Arial" w:eastAsia="Arial" w:hAnsi="Arial"/>
          <w:b w:val="false"/>
          <w:bCs w:val="false"/>
          <w:sz w:val="22"/>
          <w:szCs w:val="22"/>
        </w:rPr>
        <w:t xml:space="preserve">Real-time outcome data overlay (treatment retention, educational completion)</w:t>
      </w:r>
    </w:p>
    <w:p>
      <w:pPr>
        <w:pStyle w:val="ListParagraph"/>
        <w:numPr>
          <w:ilvl w:val="0"/>
          <w:numId w:val="2"/>
        </w:numPr>
        <w:spacing w:after="40" w:before="40"/>
      </w:pPr>
      <w:r>
        <w:rPr>
          <w:rFonts w:ascii="Arial" w:cs="Arial" w:eastAsia="Arial" w:hAnsi="Arial"/>
          <w:b w:val="false"/>
          <w:bCs w:val="false"/>
          <w:sz w:val="22"/>
          <w:szCs w:val="22"/>
        </w:rPr>
        <w:t xml:space="preserve">Public impact map on homepage</w:t>
      </w:r>
    </w:p>
    <w:p>
      <w:pPr>
        <w:pBdr>
          <w:bottom w:val="single" w:color="CCCCCC" w:sz="4" w:space="1"/>
        </w:pBdr>
        <w:spacing w:after="160" w:before="160"/>
      </w:pPr>
    </w:p>
    <w:p>
      <w:pPr>
        <w:pStyle w:val="Heading1"/>
        <w:spacing w:after="120" w:before="360"/>
      </w:pPr>
      <w:r>
        <w:rPr>
          <w:rFonts w:ascii="Arial" w:cs="Arial" w:eastAsia="Arial" w:hAnsi="Arial"/>
          <w:b/>
          <w:bCs/>
          <w:color w:val="1E3D2F"/>
          <w:sz w:val="36"/>
          <w:szCs w:val="36"/>
        </w:rPr>
        <w:t xml:space="preserve">14. Measurement of Success</w:t>
      </w:r>
    </w:p>
    <w:p>
      <w:pPr>
        <w:spacing w:after="80" w:before="80"/>
      </w:pPr>
      <w:r>
        <w:rPr>
          <w:rFonts w:ascii="Arial" w:cs="Arial" w:eastAsia="Arial" w:hAnsi="Arial"/>
          <w:sz w:val="22"/>
          <w:szCs w:val="22"/>
        </w:rPr>
        <w:t xml:space="preserve"/>
      </w:r>
    </w:p>
    <w:p>
      <w:pPr>
        <w:pStyle w:val="Heading2"/>
        <w:spacing w:after="100" w:before="280"/>
      </w:pPr>
      <w:r>
        <w:rPr>
          <w:rFonts w:ascii="Arial" w:cs="Arial" w:eastAsia="Arial" w:hAnsi="Arial"/>
          <w:b/>
          <w:bCs/>
          <w:color w:val="1E3D2F"/>
          <w:sz w:val="28"/>
          <w:szCs w:val="28"/>
        </w:rPr>
        <w:t xml:space="preserve">Level 1 — Are We Driving Donor Dollars?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7360"/>
      </w:tblGrid>
      <w:tr>
        <w:tc>
          <w:tcPr>
            <w:tcW w:type="dxa" w:w="2000"/>
            <w:tcBorders>
              <w:top w:val="single" w:color="CCCCCC" w:sz="1"/>
              <w:left w:val="single" w:color="CCCCCC" w:sz="1"/>
              <w:bottom w:val="single" w:color="CCCCCC" w:sz="1"/>
              <w:right w:val="single" w:color="CCCCCC" w:sz="1"/>
            </w:tcBorders>
            <w:shd w:fill="E8F0EC" w:val="clear"/>
            <w:tcMar>
              <w:top w:type="dxa" w:w="80"/>
              <w:left w:type="dxa" w:w="120"/>
              <w:bottom w:type="dxa" w:w="80"/>
              <w:right w:type="dxa" w:w="120"/>
            </w:tcMar>
          </w:tcPr>
          <w:p>
            <w:r>
              <w:rPr>
                <w:rFonts w:ascii="Arial" w:cs="Arial" w:eastAsia="Arial" w:hAnsi="Arial"/>
                <w:b/>
                <w:bCs/>
                <w:sz w:val="20"/>
                <w:szCs w:val="20"/>
              </w:rPr>
              <w:t xml:space="preserve">Primary metric</w:t>
            </w:r>
          </w:p>
        </w:tc>
        <w:tc>
          <w:tcPr>
            <w:tcW w:type="dxa" w:w="7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Total DCG capital committed per quarter across all four intake channels</w:t>
            </w:r>
          </w:p>
        </w:tc>
      </w:tr>
      <w:tr>
        <w:tc>
          <w:tcPr>
            <w:tcW w:type="dxa" w:w="2000"/>
            <w:tcBorders>
              <w:top w:val="single" w:color="CCCCCC" w:sz="1"/>
              <w:left w:val="single" w:color="CCCCCC" w:sz="1"/>
              <w:bottom w:val="single" w:color="CCCCCC" w:sz="1"/>
              <w:right w:val="single" w:color="CCCCCC" w:sz="1"/>
            </w:tcBorders>
            <w:shd w:fill="E8F0EC" w:val="clear"/>
            <w:tcMar>
              <w:top w:type="dxa" w:w="80"/>
              <w:left w:type="dxa" w:w="120"/>
              <w:bottom w:type="dxa" w:w="80"/>
              <w:right w:type="dxa" w:w="120"/>
            </w:tcMar>
          </w:tcPr>
          <w:p>
            <w:r>
              <w:rPr>
                <w:rFonts w:ascii="Arial" w:cs="Arial" w:eastAsia="Arial" w:hAnsi="Arial"/>
                <w:b/>
                <w:bCs/>
                <w:sz w:val="20"/>
                <w:szCs w:val="20"/>
              </w:rPr>
              <w:t xml:space="preserve">Channel breakdown</w:t>
            </w:r>
          </w:p>
        </w:tc>
        <w:tc>
          <w:tcPr>
            <w:tcW w:type="dxa" w:w="7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Round-up, tip, individual portal, DAF/foundation tracked separately</w:t>
            </w:r>
          </w:p>
        </w:tc>
      </w:tr>
      <w:tr>
        <w:tc>
          <w:tcPr>
            <w:tcW w:type="dxa" w:w="2000"/>
            <w:tcBorders>
              <w:top w:val="single" w:color="CCCCCC" w:sz="1"/>
              <w:left w:val="single" w:color="CCCCCC" w:sz="1"/>
              <w:bottom w:val="single" w:color="CCCCCC" w:sz="1"/>
              <w:right w:val="single" w:color="CCCCCC" w:sz="1"/>
            </w:tcBorders>
            <w:shd w:fill="E8F0EC" w:val="clear"/>
            <w:tcMar>
              <w:top w:type="dxa" w:w="80"/>
              <w:left w:type="dxa" w:w="120"/>
              <w:bottom w:type="dxa" w:w="80"/>
              <w:right w:type="dxa" w:w="120"/>
            </w:tcMar>
          </w:tcPr>
          <w:p>
            <w:r>
              <w:rPr>
                <w:rFonts w:ascii="Arial" w:cs="Arial" w:eastAsia="Arial" w:hAnsi="Arial"/>
                <w:b/>
                <w:bCs/>
                <w:sz w:val="20"/>
                <w:szCs w:val="20"/>
              </w:rPr>
              <w:t xml:space="preserve">2026 target</w:t>
            </w:r>
          </w:p>
        </w:tc>
        <w:tc>
          <w:tcPr>
            <w:tcW w:type="dxa" w:w="7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$2.0M in donations raised</w:t>
            </w:r>
          </w:p>
        </w:tc>
      </w:tr>
      <w:tr>
        <w:tc>
          <w:tcPr>
            <w:tcW w:type="dxa" w:w="2000"/>
            <w:tcBorders>
              <w:top w:val="single" w:color="CCCCCC" w:sz="1"/>
              <w:left w:val="single" w:color="CCCCCC" w:sz="1"/>
              <w:bottom w:val="single" w:color="CCCCCC" w:sz="1"/>
              <w:right w:val="single" w:color="CCCCCC" w:sz="1"/>
            </w:tcBorders>
            <w:shd w:fill="E8F0EC" w:val="clear"/>
            <w:tcMar>
              <w:top w:type="dxa" w:w="80"/>
              <w:left w:type="dxa" w:w="120"/>
              <w:bottom w:type="dxa" w:w="80"/>
              <w:right w:type="dxa" w:w="120"/>
            </w:tcMar>
          </w:tcPr>
          <w:p>
            <w:r>
              <w:rPr>
                <w:rFonts w:ascii="Arial" w:cs="Arial" w:eastAsia="Arial" w:hAnsi="Arial"/>
                <w:b/>
                <w:bCs/>
                <w:sz w:val="20"/>
                <w:szCs w:val="20"/>
              </w:rPr>
              <w:t xml:space="preserve">Leading indicator</w:t>
            </w:r>
          </w:p>
        </w:tc>
        <w:tc>
          <w:tcPr>
            <w:tcW w:type="dxa" w:w="7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Round-up and tip opt-out rate (target: &lt;15%)</w:t>
            </w:r>
          </w:p>
        </w:tc>
      </w:tr>
    </w:tbl>
    <w:p>
      <w:pPr>
        <w:spacing w:after="80" w:before="80"/>
      </w:pPr>
      <w:r>
        <w:rPr>
          <w:rFonts w:ascii="Arial" w:cs="Arial" w:eastAsia="Arial" w:hAnsi="Arial"/>
          <w:sz w:val="22"/>
          <w:szCs w:val="22"/>
        </w:rPr>
        <w:t xml:space="preserve"/>
      </w:r>
    </w:p>
    <w:p>
      <w:pPr>
        <w:pStyle w:val="Heading2"/>
        <w:spacing w:after="100" w:before="280"/>
      </w:pPr>
      <w:r>
        <w:rPr>
          <w:rFonts w:ascii="Arial" w:cs="Arial" w:eastAsia="Arial" w:hAnsi="Arial"/>
          <w:b/>
          <w:bCs/>
          <w:color w:val="1E3D2F"/>
          <w:sz w:val="28"/>
          <w:szCs w:val="28"/>
        </w:rPr>
        <w:t xml:space="preserve">Level 2 — Are We Matching and Reporting Effectively?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7360"/>
      </w:tblGrid>
      <w:tr>
        <w:tc>
          <w:tcPr>
            <w:tcW w:type="dxa" w:w="2000"/>
            <w:tcBorders>
              <w:top w:val="single" w:color="CCCCCC" w:sz="1"/>
              <w:left w:val="single" w:color="CCCCCC" w:sz="1"/>
              <w:bottom w:val="single" w:color="CCCCCC" w:sz="1"/>
              <w:right w:val="single" w:color="CCCCCC" w:sz="1"/>
            </w:tcBorders>
            <w:shd w:fill="E8F0EC" w:val="clear"/>
            <w:tcMar>
              <w:top w:type="dxa" w:w="80"/>
              <w:left w:type="dxa" w:w="120"/>
              <w:bottom w:type="dxa" w:w="80"/>
              <w:right w:type="dxa" w:w="120"/>
            </w:tcMar>
          </w:tcPr>
          <w:p>
            <w:r>
              <w:rPr>
                <w:rFonts w:ascii="Arial" w:cs="Arial" w:eastAsia="Arial" w:hAnsi="Arial"/>
                <w:b/>
                <w:bCs/>
                <w:sz w:val="20"/>
                <w:szCs w:val="20"/>
              </w:rPr>
              <w:t xml:space="preserve">Primary metric</w:t>
            </w:r>
          </w:p>
        </w:tc>
        <w:tc>
          <w:tcPr>
            <w:tcW w:type="dxa" w:w="7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Deployment rate: DCG dollars deployed ÷ committed</w:t>
            </w:r>
          </w:p>
        </w:tc>
      </w:tr>
      <w:tr>
        <w:tc>
          <w:tcPr>
            <w:tcW w:type="dxa" w:w="2000"/>
            <w:tcBorders>
              <w:top w:val="single" w:color="CCCCCC" w:sz="1"/>
              <w:left w:val="single" w:color="CCCCCC" w:sz="1"/>
              <w:bottom w:val="single" w:color="CCCCCC" w:sz="1"/>
              <w:right w:val="single" w:color="CCCCCC" w:sz="1"/>
            </w:tcBorders>
            <w:shd w:fill="E8F0EC" w:val="clear"/>
            <w:tcMar>
              <w:top w:type="dxa" w:w="80"/>
              <w:left w:type="dxa" w:w="120"/>
              <w:bottom w:type="dxa" w:w="80"/>
              <w:right w:type="dxa" w:w="120"/>
            </w:tcMar>
          </w:tcPr>
          <w:p>
            <w:r>
              <w:rPr>
                <w:rFonts w:ascii="Arial" w:cs="Arial" w:eastAsia="Arial" w:hAnsi="Arial"/>
                <w:b/>
                <w:bCs/>
                <w:sz w:val="20"/>
                <w:szCs w:val="20"/>
              </w:rPr>
              <w:t xml:space="preserve">Receipt metric</w:t>
            </w:r>
          </w:p>
        </w:tc>
        <w:tc>
          <w:tcPr>
            <w:tcW w:type="dxa" w:w="7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Tax receipt delivery time (target: &lt;30 seconds)</w:t>
            </w:r>
          </w:p>
        </w:tc>
      </w:tr>
      <w:tr>
        <w:tc>
          <w:tcPr>
            <w:tcW w:type="dxa" w:w="2000"/>
            <w:tcBorders>
              <w:top w:val="single" w:color="CCCCCC" w:sz="1"/>
              <w:left w:val="single" w:color="CCCCCC" w:sz="1"/>
              <w:bottom w:val="single" w:color="CCCCCC" w:sz="1"/>
              <w:right w:val="single" w:color="CCCCCC" w:sz="1"/>
            </w:tcBorders>
            <w:shd w:fill="E8F0EC" w:val="clear"/>
            <w:tcMar>
              <w:top w:type="dxa" w:w="80"/>
              <w:left w:type="dxa" w:w="120"/>
              <w:bottom w:type="dxa" w:w="80"/>
              <w:right w:type="dxa" w:w="120"/>
            </w:tcMar>
          </w:tcPr>
          <w:p>
            <w:r>
              <w:rPr>
                <w:rFonts w:ascii="Arial" w:cs="Arial" w:eastAsia="Arial" w:hAnsi="Arial"/>
                <w:b/>
                <w:bCs/>
                <w:sz w:val="20"/>
                <w:szCs w:val="20"/>
              </w:rPr>
              <w:t xml:space="preserve">Target</w:t>
            </w:r>
          </w:p>
        </w:tc>
        <w:tc>
          <w:tcPr>
            <w:tcW w:type="dxa" w:w="7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90%+ of committed dollars deployed within 90 days of family activation</w:t>
            </w:r>
          </w:p>
        </w:tc>
      </w:tr>
    </w:tbl>
    <w:p>
      <w:pPr>
        <w:spacing w:after="80" w:before="80"/>
      </w:pPr>
      <w:r>
        <w:rPr>
          <w:rFonts w:ascii="Arial" w:cs="Arial" w:eastAsia="Arial" w:hAnsi="Arial"/>
          <w:sz w:val="22"/>
          <w:szCs w:val="22"/>
        </w:rPr>
        <w:t xml:space="preserve"/>
      </w:r>
    </w:p>
    <w:p>
      <w:pPr>
        <w:pStyle w:val="Heading2"/>
        <w:spacing w:after="100" w:before="280"/>
      </w:pPr>
      <w:r>
        <w:rPr>
          <w:rFonts w:ascii="Arial" w:cs="Arial" w:eastAsia="Arial" w:hAnsi="Arial"/>
          <w:b/>
          <w:bCs/>
          <w:color w:val="1E3D2F"/>
          <w:sz w:val="28"/>
          <w:szCs w:val="28"/>
        </w:rPr>
        <w:t xml:space="preserve">Level 3 — Retention and Expansion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7360"/>
      </w:tblGrid>
      <w:tr>
        <w:tc>
          <w:tcPr>
            <w:tcW w:type="dxa" w:w="2000"/>
            <w:tcBorders>
              <w:top w:val="single" w:color="CCCCCC" w:sz="1"/>
              <w:left w:val="single" w:color="CCCCCC" w:sz="1"/>
              <w:bottom w:val="single" w:color="CCCCCC" w:sz="1"/>
              <w:right w:val="single" w:color="CCCCCC" w:sz="1"/>
            </w:tcBorders>
            <w:shd w:fill="E8F0EC" w:val="clear"/>
            <w:tcMar>
              <w:top w:type="dxa" w:w="80"/>
              <w:left w:type="dxa" w:w="120"/>
              <w:bottom w:type="dxa" w:w="80"/>
              <w:right w:type="dxa" w:w="120"/>
            </w:tcMar>
          </w:tcPr>
          <w:p>
            <w:r>
              <w:rPr>
                <w:rFonts w:ascii="Arial" w:cs="Arial" w:eastAsia="Arial" w:hAnsi="Arial"/>
                <w:b/>
                <w:bCs/>
                <w:sz w:val="20"/>
                <w:szCs w:val="20"/>
              </w:rPr>
              <w:t xml:space="preserve">Primary metric</w:t>
            </w:r>
          </w:p>
        </w:tc>
        <w:tc>
          <w:tcPr>
            <w:tcW w:type="dxa" w:w="7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Donor renewal rate at 12 months</w:t>
            </w:r>
          </w:p>
        </w:tc>
      </w:tr>
      <w:tr>
        <w:tc>
          <w:tcPr>
            <w:tcW w:type="dxa" w:w="2000"/>
            <w:tcBorders>
              <w:top w:val="single" w:color="CCCCCC" w:sz="1"/>
              <w:left w:val="single" w:color="CCCCCC" w:sz="1"/>
              <w:bottom w:val="single" w:color="CCCCCC" w:sz="1"/>
              <w:right w:val="single" w:color="CCCCCC" w:sz="1"/>
            </w:tcBorders>
            <w:shd w:fill="E8F0EC" w:val="clear"/>
            <w:tcMar>
              <w:top w:type="dxa" w:w="80"/>
              <w:left w:type="dxa" w:w="120"/>
              <w:bottom w:type="dxa" w:w="80"/>
              <w:right w:type="dxa" w:w="120"/>
            </w:tcMar>
          </w:tcPr>
          <w:p>
            <w:r>
              <w:rPr>
                <w:rFonts w:ascii="Arial" w:cs="Arial" w:eastAsia="Arial" w:hAnsi="Arial"/>
                <w:b/>
                <w:bCs/>
                <w:sz w:val="20"/>
                <w:szCs w:val="20"/>
              </w:rPr>
              <w:t xml:space="preserve">Funnel metric</w:t>
            </w:r>
          </w:p>
        </w:tc>
        <w:tc>
          <w:tcPr>
            <w:tcW w:type="dxa" w:w="7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Round-up/tip donor → portal account conversion rate</w:t>
            </w:r>
          </w:p>
        </w:tc>
      </w:tr>
      <w:tr>
        <w:tc>
          <w:tcPr>
            <w:tcW w:type="dxa" w:w="2000"/>
            <w:tcBorders>
              <w:top w:val="single" w:color="CCCCCC" w:sz="1"/>
              <w:left w:val="single" w:color="CCCCCC" w:sz="1"/>
              <w:bottom w:val="single" w:color="CCCCCC" w:sz="1"/>
              <w:right w:val="single" w:color="CCCCCC" w:sz="1"/>
            </w:tcBorders>
            <w:shd w:fill="E8F0EC" w:val="clear"/>
            <w:tcMar>
              <w:top w:type="dxa" w:w="80"/>
              <w:left w:type="dxa" w:w="120"/>
              <w:bottom w:type="dxa" w:w="80"/>
              <w:right w:type="dxa" w:w="120"/>
            </w:tcMar>
          </w:tcPr>
          <w:p>
            <w:r>
              <w:rPr>
                <w:rFonts w:ascii="Arial" w:cs="Arial" w:eastAsia="Arial" w:hAnsi="Arial"/>
                <w:b/>
                <w:bCs/>
                <w:sz w:val="20"/>
                <w:szCs w:val="20"/>
              </w:rPr>
              <w:t xml:space="preserve">Expansion metric</w:t>
            </w:r>
          </w:p>
        </w:tc>
        <w:tc>
          <w:tcPr>
            <w:tcW w:type="dxa" w:w="7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Institutional grant partners who add DCG matching dollars to their existing cohort</w:t>
            </w:r>
          </w:p>
        </w:tc>
      </w:tr>
      <w:tr>
        <w:tc>
          <w:tcPr>
            <w:tcW w:type="dxa" w:w="2000"/>
            <w:tcBorders>
              <w:top w:val="single" w:color="CCCCCC" w:sz="1"/>
              <w:left w:val="single" w:color="CCCCCC" w:sz="1"/>
              <w:bottom w:val="single" w:color="CCCCCC" w:sz="1"/>
              <w:right w:val="single" w:color="CCCCCC" w:sz="1"/>
            </w:tcBorders>
            <w:shd w:fill="E8F0EC" w:val="clear"/>
            <w:tcMar>
              <w:top w:type="dxa" w:w="80"/>
              <w:left w:type="dxa" w:w="120"/>
              <w:bottom w:type="dxa" w:w="80"/>
              <w:right w:type="dxa" w:w="120"/>
            </w:tcMar>
          </w:tcPr>
          <w:p>
            <w:r>
              <w:rPr>
                <w:rFonts w:ascii="Arial" w:cs="Arial" w:eastAsia="Arial" w:hAnsi="Arial"/>
                <w:b/>
                <w:bCs/>
                <w:sz w:val="20"/>
                <w:szCs w:val="20"/>
              </w:rPr>
              <w:t xml:space="preserve">Leading indicator</w:t>
            </w:r>
          </w:p>
        </w:tc>
        <w:tc>
          <w:tcPr>
            <w:tcW w:type="dxa" w:w="7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Dashboard login frequency</w:t>
            </w:r>
          </w:p>
        </w:tc>
      </w:tr>
    </w:tbl>
    <w:p>
      <w:pPr>
        <w:pBdr>
          <w:bottom w:val="single" w:color="CCCCCC" w:sz="4" w:space="1"/>
        </w:pBdr>
        <w:spacing w:after="160" w:before="160"/>
      </w:pPr>
    </w:p>
    <w:p>
      <w:pPr>
        <w:pStyle w:val="Heading1"/>
        <w:spacing w:after="120" w:before="360"/>
      </w:pPr>
      <w:r>
        <w:rPr>
          <w:rFonts w:ascii="Arial" w:cs="Arial" w:eastAsia="Arial" w:hAnsi="Arial"/>
          <w:b/>
          <w:bCs/>
          <w:color w:val="1E3D2F"/>
          <w:sz w:val="36"/>
          <w:szCs w:val="36"/>
        </w:rPr>
        <w:t xml:space="preserve">15. Design &amp; Brand Guidelines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7360"/>
      </w:tblGrid>
      <w:tr>
        <w:tc>
          <w:tcPr>
            <w:tcW w:type="dxa" w:w="2000"/>
            <w:tcBorders>
              <w:top w:val="single" w:color="CCCCCC" w:sz="1"/>
              <w:left w:val="single" w:color="CCCCCC" w:sz="1"/>
              <w:bottom w:val="single" w:color="CCCCCC" w:sz="1"/>
              <w:right w:val="single" w:color="CCCCCC" w:sz="1"/>
            </w:tcBorders>
            <w:shd w:fill="E8F0EC" w:val="clear"/>
            <w:tcMar>
              <w:top w:type="dxa" w:w="80"/>
              <w:left w:type="dxa" w:w="120"/>
              <w:bottom w:type="dxa" w:w="80"/>
              <w:right w:type="dxa" w:w="120"/>
            </w:tcMar>
          </w:tcPr>
          <w:p>
            <w:r>
              <w:rPr>
                <w:rFonts w:ascii="Arial" w:cs="Arial" w:eastAsia="Arial" w:hAnsi="Arial"/>
                <w:b/>
                <w:bCs/>
                <w:sz w:val="20"/>
                <w:szCs w:val="20"/>
              </w:rPr>
              <w:t xml:space="preserve">Palette</w:t>
            </w:r>
          </w:p>
        </w:tc>
        <w:tc>
          <w:tcPr>
            <w:tcW w:type="dxa" w:w="7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Dark green #1E3D2F, mid green #2D5A3F, cream #F5F0E8, bright green #5CAF70</w:t>
            </w:r>
          </w:p>
        </w:tc>
      </w:tr>
      <w:tr>
        <w:tc>
          <w:tcPr>
            <w:tcW w:type="dxa" w:w="2000"/>
            <w:tcBorders>
              <w:top w:val="single" w:color="CCCCCC" w:sz="1"/>
              <w:left w:val="single" w:color="CCCCCC" w:sz="1"/>
              <w:bottom w:val="single" w:color="CCCCCC" w:sz="1"/>
              <w:right w:val="single" w:color="CCCCCC" w:sz="1"/>
            </w:tcBorders>
            <w:shd w:fill="E8F0EC" w:val="clear"/>
            <w:tcMar>
              <w:top w:type="dxa" w:w="80"/>
              <w:left w:type="dxa" w:w="120"/>
              <w:bottom w:type="dxa" w:w="80"/>
              <w:right w:type="dxa" w:w="120"/>
            </w:tcMar>
          </w:tcPr>
          <w:p>
            <w:r>
              <w:rPr>
                <w:rFonts w:ascii="Arial" w:cs="Arial" w:eastAsia="Arial" w:hAnsi="Arial"/>
                <w:b/>
                <w:bCs/>
                <w:sz w:val="20"/>
                <w:szCs w:val="20"/>
              </w:rPr>
              <w:t xml:space="preserve">Tone</w:t>
            </w:r>
          </w:p>
        </w:tc>
        <w:tc>
          <w:tcPr>
            <w:tcW w:type="dxa" w:w="7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Accountable, clear, warm. Not nonprofit-generic. Not fintech-cold.</w:t>
            </w:r>
          </w:p>
        </w:tc>
      </w:tr>
      <w:tr>
        <w:tc>
          <w:tcPr>
            <w:tcW w:type="dxa" w:w="2000"/>
            <w:tcBorders>
              <w:top w:val="single" w:color="CCCCCC" w:sz="1"/>
              <w:left w:val="single" w:color="CCCCCC" w:sz="1"/>
              <w:bottom w:val="single" w:color="CCCCCC" w:sz="1"/>
              <w:right w:val="single" w:color="CCCCCC" w:sz="1"/>
            </w:tcBorders>
            <w:shd w:fill="E8F0EC" w:val="clear"/>
            <w:tcMar>
              <w:top w:type="dxa" w:w="80"/>
              <w:left w:type="dxa" w:w="120"/>
              <w:bottom w:type="dxa" w:w="80"/>
              <w:right w:type="dxa" w:w="120"/>
            </w:tcMar>
          </w:tcPr>
          <w:p>
            <w:r>
              <w:rPr>
                <w:rFonts w:ascii="Arial" w:cs="Arial" w:eastAsia="Arial" w:hAnsi="Arial"/>
                <w:b/>
                <w:bCs/>
                <w:sz w:val="20"/>
                <w:szCs w:val="20"/>
              </w:rPr>
              <w:t xml:space="preserve">Photography</w:t>
            </w:r>
          </w:p>
        </w:tc>
        <w:tc>
          <w:tcPr>
            <w:tcW w:type="dxa" w:w="7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Family-focused, warm, authentic. Consistent with homepage mockups provided.</w:t>
            </w:r>
          </w:p>
        </w:tc>
      </w:tr>
      <w:tr>
        <w:tc>
          <w:tcPr>
            <w:tcW w:type="dxa" w:w="2000"/>
            <w:tcBorders>
              <w:top w:val="single" w:color="CCCCCC" w:sz="1"/>
              <w:left w:val="single" w:color="CCCCCC" w:sz="1"/>
              <w:bottom w:val="single" w:color="CCCCCC" w:sz="1"/>
              <w:right w:val="single" w:color="CCCCCC" w:sz="1"/>
            </w:tcBorders>
            <w:shd w:fill="E8F0EC" w:val="clear"/>
            <w:tcMar>
              <w:top w:type="dxa" w:w="80"/>
              <w:left w:type="dxa" w:w="120"/>
              <w:bottom w:type="dxa" w:w="80"/>
              <w:right w:type="dxa" w:w="120"/>
            </w:tcMar>
          </w:tcPr>
          <w:p>
            <w:r>
              <w:rPr>
                <w:rFonts w:ascii="Arial" w:cs="Arial" w:eastAsia="Arial" w:hAnsi="Arial"/>
                <w:b/>
                <w:bCs/>
                <w:sz w:val="20"/>
                <w:szCs w:val="20"/>
              </w:rPr>
              <w:t xml:space="preserve">Mobile</w:t>
            </w:r>
          </w:p>
        </w:tc>
        <w:tc>
          <w:tcPr>
            <w:tcW w:type="dxa" w:w="7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Fully responsive. Checkout flow must be flawless on mobile.</w:t>
            </w:r>
          </w:p>
        </w:tc>
      </w:tr>
      <w:tr>
        <w:tc>
          <w:tcPr>
            <w:tcW w:type="dxa" w:w="2000"/>
            <w:tcBorders>
              <w:top w:val="single" w:color="CCCCCC" w:sz="1"/>
              <w:left w:val="single" w:color="CCCCCC" w:sz="1"/>
              <w:bottom w:val="single" w:color="CCCCCC" w:sz="1"/>
              <w:right w:val="single" w:color="CCCCCC" w:sz="1"/>
            </w:tcBorders>
            <w:shd w:fill="E8F0EC" w:val="clear"/>
            <w:tcMar>
              <w:top w:type="dxa" w:w="80"/>
              <w:left w:type="dxa" w:w="120"/>
              <w:bottom w:type="dxa" w:w="80"/>
              <w:right w:type="dxa" w:w="120"/>
            </w:tcMar>
          </w:tcPr>
          <w:p>
            <w:r>
              <w:rPr>
                <w:rFonts w:ascii="Arial" w:cs="Arial" w:eastAsia="Arial" w:hAnsi="Arial"/>
                <w:b/>
                <w:bCs/>
                <w:sz w:val="20"/>
                <w:szCs w:val="20"/>
              </w:rPr>
              <w:t xml:space="preserve">Checkout UI</w:t>
            </w:r>
          </w:p>
        </w:tc>
        <w:tc>
          <w:tcPr>
            <w:tcW w:type="dxa" w:w="7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Round-up and tip step must feel native to Dopple checkout — same design language, not a modal or interrupt.</w:t>
            </w:r>
          </w:p>
        </w:tc>
      </w:tr>
      <w:tr>
        <w:tc>
          <w:tcPr>
            <w:tcW w:type="dxa" w:w="2000"/>
            <w:tcBorders>
              <w:top w:val="single" w:color="CCCCCC" w:sz="1"/>
              <w:left w:val="single" w:color="CCCCCC" w:sz="1"/>
              <w:bottom w:val="single" w:color="CCCCCC" w:sz="1"/>
              <w:right w:val="single" w:color="CCCCCC" w:sz="1"/>
            </w:tcBorders>
            <w:shd w:fill="E8F0EC" w:val="clear"/>
            <w:tcMar>
              <w:top w:type="dxa" w:w="80"/>
              <w:left w:type="dxa" w:w="120"/>
              <w:bottom w:type="dxa" w:w="80"/>
              <w:right w:type="dxa" w:w="120"/>
            </w:tcMar>
          </w:tcPr>
          <w:p>
            <w:r>
              <w:rPr>
                <w:rFonts w:ascii="Arial" w:cs="Arial" w:eastAsia="Arial" w:hAnsi="Arial"/>
                <w:b/>
                <w:bCs/>
                <w:sz w:val="20"/>
                <w:szCs w:val="20"/>
              </w:rPr>
              <w:t xml:space="preserve">Portal UI</w:t>
            </w:r>
          </w:p>
        </w:tc>
        <w:tc>
          <w:tcPr>
            <w:tcW w:type="dxa" w:w="736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Dashboard must feel like a fintech reporting tool, not a nonprofit impact page. Data-forward, clean, exportable.</w:t>
            </w:r>
          </w:p>
        </w:tc>
      </w:tr>
    </w:tbl>
    <w:p>
      <w:pPr>
        <w:pBdr>
          <w:bottom w:val="single" w:color="CCCCCC" w:sz="4" w:space="1"/>
        </w:pBdr>
        <w:spacing w:after="160" w:before="160"/>
      </w:pPr>
    </w:p>
    <w:p>
      <w:pPr>
        <w:pStyle w:val="Heading1"/>
        <w:spacing w:after="120" w:before="360"/>
      </w:pPr>
      <w:r>
        <w:rPr>
          <w:rFonts w:ascii="Arial" w:cs="Arial" w:eastAsia="Arial" w:hAnsi="Arial"/>
          <w:b/>
          <w:bCs/>
          <w:color w:val="1E3D2F"/>
          <w:sz w:val="36"/>
          <w:szCs w:val="36"/>
        </w:rPr>
        <w:t xml:space="preserve">16. Open Questions</w:t>
      </w:r>
    </w:p>
    <w:p>
      <w:pPr>
        <w:pStyle w:val="ListParagraph"/>
        <w:numPr>
          <w:ilvl w:val="0"/>
          <w:numId w:val="2"/>
        </w:numPr>
        <w:spacing w:after="40" w:before="40"/>
      </w:pPr>
      <w:r>
        <w:rPr>
          <w:rFonts w:ascii="Arial" w:cs="Arial" w:eastAsia="Arial" w:hAnsi="Arial"/>
          <w:b w:val="false"/>
          <w:bCs w:val="false"/>
          <w:sz w:val="22"/>
          <w:szCs w:val="22"/>
        </w:rPr>
        <w:t xml:space="preserve">What is the legal structure for the round-up and tip flow — does DCG need to be the named merchant of record for the charitable portion of the transaction?</w:t>
      </w:r>
    </w:p>
    <w:p>
      <w:pPr>
        <w:pStyle w:val="ListParagraph"/>
        <w:numPr>
          <w:ilvl w:val="0"/>
          <w:numId w:val="2"/>
        </w:numPr>
        <w:spacing w:after="40" w:before="40"/>
      </w:pPr>
      <w:r>
        <w:rPr>
          <w:rFonts w:ascii="Arial" w:cs="Arial" w:eastAsia="Arial" w:hAnsi="Arial"/>
          <w:b w:val="false"/>
          <w:bCs w:val="false"/>
          <w:sz w:val="22"/>
          <w:szCs w:val="22"/>
        </w:rPr>
        <w:t xml:space="preserve">Data sharing agreement between Dopple for-profit and DCG is in draft. Confirm aggregate-only scope before build begins.</w:t>
      </w:r>
    </w:p>
    <w:p>
      <w:pPr>
        <w:pStyle w:val="ListParagraph"/>
        <w:numPr>
          <w:ilvl w:val="0"/>
          <w:numId w:val="2"/>
        </w:numPr>
        <w:spacing w:after="40" w:before="40"/>
      </w:pPr>
      <w:r>
        <w:rPr>
          <w:rFonts w:ascii="Arial" w:cs="Arial" w:eastAsia="Arial" w:hAnsi="Arial"/>
          <w:b w:val="false"/>
          <w:bCs w:val="false"/>
          <w:sz w:val="22"/>
          <w:szCs w:val="22"/>
        </w:rPr>
        <w:t xml:space="preserve">For Pacific Clinics cohort specifically: does HIPAA or 42 CFR Part 2 affect what the unified portal can display, even in aggregate?</w:t>
      </w:r>
    </w:p>
    <w:p>
      <w:pPr>
        <w:pStyle w:val="ListParagraph"/>
        <w:numPr>
          <w:ilvl w:val="0"/>
          <w:numId w:val="2"/>
        </w:numPr>
        <w:spacing w:after="40" w:before="40"/>
      </w:pPr>
      <w:r>
        <w:rPr>
          <w:rFonts w:ascii="Arial" w:cs="Arial" w:eastAsia="Arial" w:hAnsi="Arial"/>
          <w:b w:val="false"/>
          <w:bCs w:val="false"/>
          <w:sz w:val="22"/>
          <w:szCs w:val="22"/>
        </w:rPr>
        <w:t xml:space="preserve">Who owns the donor relationship for institutional partners — Dopple, DCG, or the partner?</w:t>
      </w:r>
    </w:p>
    <w:p>
      <w:pPr>
        <w:pStyle w:val="ListParagraph"/>
        <w:numPr>
          <w:ilvl w:val="0"/>
          <w:numId w:val="2"/>
        </w:numPr>
        <w:spacing w:after="40" w:before="40"/>
      </w:pPr>
      <w:r>
        <w:rPr>
          <w:rFonts w:ascii="Arial" w:cs="Arial" w:eastAsia="Arial" w:hAnsi="Arial"/>
          <w:b w:val="false"/>
          <w:bCs w:val="false"/>
          <w:sz w:val="22"/>
          <w:szCs w:val="22"/>
        </w:rPr>
        <w:t xml:space="preserve">Standing round-up opt-out in family account settings — MVP or V1.1?</w:t>
      </w:r>
    </w:p>
    <w:p>
      <w:pPr>
        <w:spacing w:before="480"/>
      </w:pP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bullet"/>
      <w:lvlText w:val="◦"/>
      <w:lvlJc w:val="left"/>
      <w:pPr>
        <w:ind w:left="108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360"/>
      <w:outlineLvl w:val="0"/>
    </w:pPr>
    <w:rPr>
      <w:rFonts w:ascii="Arial" w:cs="Arial" w:eastAsia="Arial" w:hAnsi="Arial"/>
      <w:b/>
      <w:bCs/>
      <w:color w:val="1E3D2F"/>
      <w:sz w:val="36"/>
      <w:szCs w:val="36"/>
    </w:rPr>
  </w:style>
  <w:style w:type="paragraph" w:styleId="Heading2">
    <w:name w:val="Heading 2"/>
    <w:basedOn w:val="Normal"/>
    <w:next w:val="Normal"/>
    <w:qFormat/>
    <w:pPr>
      <w:spacing w:after="100" w:before="280"/>
      <w:outlineLvl w:val="1"/>
    </w:pPr>
    <w:rPr>
      <w:rFonts w:ascii="Arial" w:cs="Arial" w:eastAsia="Arial" w:hAnsi="Arial"/>
      <w:b/>
      <w:bCs/>
      <w:color w:val="1E3D2F"/>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2026-06-07T17:21:27.077Z</dcterms:created>
  <dcterms:modified xsi:type="dcterms:W3CDTF">2026-06-07T17:21:27.087Z</dcterms:modified>
</cp:coreProperties>
</file>

<file path=docProps/custom.xml><?xml version="1.0" encoding="utf-8"?>
<Properties xmlns="http://schemas.openxmlformats.org/officeDocument/2006/custom-properties" xmlns:vt="http://schemas.openxmlformats.org/officeDocument/2006/docPropsVTypes"/>
</file>